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1671" w14:textId="46C155A1" w:rsidR="00192C84" w:rsidRPr="00192C84" w:rsidRDefault="00192C84" w:rsidP="00192C84">
      <w:pPr>
        <w:spacing w:after="0"/>
        <w:rPr>
          <w:color w:val="auto"/>
          <w:sz w:val="22"/>
          <w:szCs w:val="22"/>
          <w:lang w:val="en-CA"/>
        </w:rPr>
      </w:pPr>
    </w:p>
    <w:p w14:paraId="49B2D4D4" w14:textId="1B47883A" w:rsidR="00192C84" w:rsidRPr="00FD1612" w:rsidRDefault="00192C84" w:rsidP="00F82E1A">
      <w:pPr>
        <w:jc w:val="center"/>
        <w:rPr>
          <w:color w:val="auto"/>
          <w:sz w:val="32"/>
          <w:szCs w:val="32"/>
        </w:rPr>
      </w:pPr>
      <w:r>
        <w:rPr>
          <w:b/>
          <w:color w:val="auto"/>
          <w:sz w:val="32"/>
        </w:rPr>
        <w:t>DEMANDE D’OFFRES DE SERVICES</w:t>
      </w:r>
    </w:p>
    <w:p w14:paraId="5F1CDD22" w14:textId="3F3FB892" w:rsidR="00192C84" w:rsidRDefault="00346F14" w:rsidP="00C73F57">
      <w:pPr>
        <w:pStyle w:val="ListParagraph"/>
        <w:numPr>
          <w:ilvl w:val="0"/>
          <w:numId w:val="5"/>
        </w:numPr>
        <w:ind w:left="357" w:hanging="357"/>
        <w:rPr>
          <w:b/>
          <w:bCs/>
          <w:color w:val="auto"/>
          <w:sz w:val="24"/>
          <w:szCs w:val="24"/>
        </w:rPr>
      </w:pPr>
      <w:r>
        <w:rPr>
          <w:b/>
          <w:color w:val="auto"/>
          <w:sz w:val="24"/>
        </w:rPr>
        <w:t>APERÇU DU PROJET</w:t>
      </w:r>
    </w:p>
    <w:p w14:paraId="634EA756" w14:textId="37AD6277" w:rsidR="003A28C0" w:rsidRDefault="003A28C0" w:rsidP="003A28C0">
      <w:pPr>
        <w:spacing w:after="0"/>
        <w:rPr>
          <w:color w:val="auto"/>
          <w:sz w:val="22"/>
          <w:szCs w:val="22"/>
        </w:rPr>
      </w:pPr>
      <w:r>
        <w:rPr>
          <w:color w:val="auto"/>
          <w:sz w:val="22"/>
        </w:rPr>
        <w:t>La Sinneave Family Foundation (Sinneave) est une fondation active située à Calgary, Alberta, qui travaille auprès des personnes, des collectivités et des organisations partout au Canada pour réduire les obstacles et multiplier les possibilités pour les jeunes et les adultes autistes dans les domaines de l’éducation, de l’emploi et du logement. Sinneave participe également au développement des connaissances sous-tendant les enjeux de politique sociale au soutien de sa vision, selon laquelle tous et toutes puissent vivre, apprendre, travailler et s’épanouir dans la collectivité, tout en ayant l’occasion de réaliser l’avenir souhaité.</w:t>
      </w:r>
    </w:p>
    <w:p w14:paraId="6A424CA6" w14:textId="77777777" w:rsidR="00C73F57" w:rsidRDefault="00C73F57" w:rsidP="003A28C0">
      <w:pPr>
        <w:spacing w:after="0"/>
        <w:rPr>
          <w:color w:val="auto"/>
          <w:sz w:val="22"/>
          <w:szCs w:val="22"/>
          <w:lang w:val="en-CA"/>
        </w:rPr>
      </w:pPr>
    </w:p>
    <w:p w14:paraId="5B76884D" w14:textId="3AF1204C" w:rsidR="003A28C0" w:rsidRDefault="003A28C0" w:rsidP="00C73F57">
      <w:pPr>
        <w:spacing w:after="0"/>
        <w:rPr>
          <w:color w:val="auto"/>
          <w:sz w:val="22"/>
          <w:szCs w:val="22"/>
        </w:rPr>
      </w:pPr>
      <w:r>
        <w:rPr>
          <w:color w:val="auto"/>
          <w:sz w:val="22"/>
        </w:rPr>
        <w:t>Depuis 2015, Sinneave reçoit un financement émis par Emploi et Développement social Canada dans le cadre du Fonds d</w:t>
      </w:r>
      <w:r w:rsidR="00A81978">
        <w:rPr>
          <w:color w:val="auto"/>
          <w:sz w:val="22"/>
        </w:rPr>
        <w:t>’</w:t>
      </w:r>
      <w:r>
        <w:rPr>
          <w:color w:val="auto"/>
          <w:sz w:val="22"/>
        </w:rPr>
        <w:t xml:space="preserve">intégration pour les personnes handicapées afin de soutenir les personnes en situation de handicap dans leurs démarches pour se préparer au travail, obtenir un emploi et le conserver ou s’engager sur la voie du travail autonome, leur permettant ainsi d’accroître leur participation économique et leur autonomie. En tant qu’organisme principal du projet national </w:t>
      </w:r>
      <w:r>
        <w:rPr>
          <w:i/>
          <w:color w:val="auto"/>
          <w:sz w:val="22"/>
        </w:rPr>
        <w:t xml:space="preserve">Spectre </w:t>
      </w:r>
      <w:r w:rsidR="00B47E27">
        <w:rPr>
          <w:i/>
          <w:color w:val="auto"/>
          <w:sz w:val="22"/>
        </w:rPr>
        <w:t>e</w:t>
      </w:r>
      <w:r>
        <w:rPr>
          <w:i/>
          <w:color w:val="auto"/>
          <w:sz w:val="22"/>
        </w:rPr>
        <w:t xml:space="preserve">mploi </w:t>
      </w:r>
      <w:r>
        <w:rPr>
          <w:color w:val="auto"/>
          <w:sz w:val="22"/>
        </w:rPr>
        <w:t>(</w:t>
      </w:r>
      <w:hyperlink r:id="rId8" w:history="1">
        <w:r>
          <w:rPr>
            <w:rStyle w:val="Hyperlink"/>
            <w:sz w:val="22"/>
          </w:rPr>
          <w:t>https://spectre-emploi.ca/</w:t>
        </w:r>
      </w:hyperlink>
      <w:r>
        <w:rPr>
          <w:color w:val="auto"/>
          <w:sz w:val="22"/>
        </w:rPr>
        <w:t>), Sinneave soutient la prestation de programmes et de services partout au Canada.</w:t>
      </w:r>
    </w:p>
    <w:p w14:paraId="107DF83D" w14:textId="77777777" w:rsidR="00C73F57" w:rsidRPr="003A28C0" w:rsidRDefault="00C73F57" w:rsidP="00C73F57">
      <w:pPr>
        <w:spacing w:after="0"/>
        <w:rPr>
          <w:color w:val="auto"/>
          <w:sz w:val="22"/>
          <w:szCs w:val="22"/>
          <w:lang w:val="en-CA"/>
        </w:rPr>
      </w:pPr>
    </w:p>
    <w:p w14:paraId="06AD8E11" w14:textId="4D337AD8" w:rsidR="00034B92" w:rsidRDefault="00742100" w:rsidP="00C73F57">
      <w:pPr>
        <w:spacing w:after="0"/>
        <w:rPr>
          <w:color w:val="auto"/>
          <w:sz w:val="22"/>
          <w:szCs w:val="22"/>
        </w:rPr>
      </w:pPr>
      <w:r>
        <w:rPr>
          <w:color w:val="auto"/>
          <w:sz w:val="22"/>
        </w:rPr>
        <w:t xml:space="preserve">Sinneave entreprend </w:t>
      </w:r>
      <w:r w:rsidR="00A05981">
        <w:rPr>
          <w:color w:val="auto"/>
          <w:sz w:val="22"/>
        </w:rPr>
        <w:t>d’accroître</w:t>
      </w:r>
      <w:r>
        <w:rPr>
          <w:color w:val="auto"/>
          <w:sz w:val="22"/>
        </w:rPr>
        <w:t xml:space="preserve"> les activités de Spectre emploi au Québec. Nous sommes </w:t>
      </w:r>
      <w:r w:rsidR="00E904BF">
        <w:rPr>
          <w:color w:val="auto"/>
          <w:sz w:val="22"/>
        </w:rPr>
        <w:t xml:space="preserve">donc </w:t>
      </w:r>
      <w:r>
        <w:rPr>
          <w:color w:val="auto"/>
          <w:sz w:val="22"/>
        </w:rPr>
        <w:t>à la recherche de propositions de la part de prestataires de services soutenant la recherche d’emploi pour les personnes autistes, neurodivergent·es ou en situation de handicap. Sinneave cherche à collaborer avec des organisations de services et de programmes d’emplo</w:t>
      </w:r>
      <w:r w:rsidR="00E904BF">
        <w:rPr>
          <w:color w:val="auto"/>
          <w:sz w:val="22"/>
        </w:rPr>
        <w:t>yabilité</w:t>
      </w:r>
      <w:r>
        <w:rPr>
          <w:color w:val="auto"/>
          <w:sz w:val="22"/>
        </w:rPr>
        <w:t xml:space="preserve"> existants qui sont en contact avec des chercheuses et chercheurs d’emploi </w:t>
      </w:r>
      <w:r w:rsidR="00E904BF">
        <w:rPr>
          <w:color w:val="auto"/>
          <w:sz w:val="22"/>
        </w:rPr>
        <w:t>pouvant</w:t>
      </w:r>
      <w:r>
        <w:rPr>
          <w:color w:val="auto"/>
          <w:sz w:val="22"/>
        </w:rPr>
        <w:t xml:space="preserve"> profiter de l’accès au contenu et aux ressources du programme Spectre emploi pour se préparer au travail et obtenir un emploi, ainsi qu’obtenir des mesures de soutien à l’emploi favorisant la réussite en milieu de travail. </w:t>
      </w:r>
    </w:p>
    <w:p w14:paraId="00A0B030" w14:textId="77777777" w:rsidR="00C73F57" w:rsidRPr="006F0CB7" w:rsidRDefault="00C73F57" w:rsidP="00C73F57">
      <w:pPr>
        <w:spacing w:after="0"/>
        <w:rPr>
          <w:color w:val="auto"/>
          <w:sz w:val="24"/>
          <w:szCs w:val="24"/>
          <w:lang w:val="en-CA"/>
        </w:rPr>
      </w:pPr>
    </w:p>
    <w:p w14:paraId="221A2231" w14:textId="2292DA73" w:rsidR="00E160C0" w:rsidRDefault="008B421A" w:rsidP="00C73F57">
      <w:pPr>
        <w:pStyle w:val="ListParagraph"/>
        <w:numPr>
          <w:ilvl w:val="0"/>
          <w:numId w:val="5"/>
        </w:numPr>
        <w:spacing w:after="0"/>
        <w:ind w:left="357" w:hanging="357"/>
        <w:contextualSpacing w:val="0"/>
        <w:rPr>
          <w:b/>
          <w:bCs/>
          <w:color w:val="auto"/>
          <w:sz w:val="24"/>
          <w:szCs w:val="24"/>
        </w:rPr>
      </w:pPr>
      <w:r>
        <w:rPr>
          <w:b/>
          <w:color w:val="auto"/>
          <w:sz w:val="24"/>
        </w:rPr>
        <w:t>CONTENU,</w:t>
      </w:r>
      <w:r w:rsidR="00FF66EB">
        <w:rPr>
          <w:b/>
          <w:color w:val="auto"/>
          <w:sz w:val="24"/>
        </w:rPr>
        <w:t xml:space="preserve"> </w:t>
      </w:r>
      <w:r>
        <w:rPr>
          <w:b/>
          <w:color w:val="auto"/>
          <w:sz w:val="24"/>
        </w:rPr>
        <w:t>RESSOURCES ET MESURES DE SOUTIEN DU PROJET</w:t>
      </w:r>
    </w:p>
    <w:p w14:paraId="5686D93B" w14:textId="77777777" w:rsidR="00C73F57" w:rsidRDefault="00C73F57" w:rsidP="00C73F57">
      <w:pPr>
        <w:pStyle w:val="ListParagraph"/>
        <w:numPr>
          <w:ilvl w:val="0"/>
          <w:numId w:val="0"/>
        </w:numPr>
        <w:spacing w:after="0"/>
        <w:ind w:left="357"/>
        <w:contextualSpacing w:val="0"/>
        <w:rPr>
          <w:b/>
          <w:bCs/>
          <w:color w:val="auto"/>
          <w:sz w:val="24"/>
          <w:szCs w:val="24"/>
          <w:lang w:val="en-CA"/>
        </w:rPr>
      </w:pPr>
    </w:p>
    <w:p w14:paraId="644E696C" w14:textId="5B9EB7EE" w:rsidR="00E160C0" w:rsidRPr="00C71498" w:rsidRDefault="00F100ED" w:rsidP="00C71498">
      <w:pPr>
        <w:pStyle w:val="ListParagraph"/>
        <w:numPr>
          <w:ilvl w:val="0"/>
          <w:numId w:val="8"/>
        </w:numPr>
        <w:spacing w:after="120"/>
        <w:ind w:left="714" w:hanging="357"/>
        <w:contextualSpacing w:val="0"/>
        <w:rPr>
          <w:bCs/>
          <w:color w:val="000000" w:themeColor="text1"/>
          <w:sz w:val="24"/>
          <w:szCs w:val="24"/>
        </w:rPr>
      </w:pPr>
      <w:r>
        <w:rPr>
          <w:color w:val="000000" w:themeColor="text1"/>
          <w:sz w:val="24"/>
        </w:rPr>
        <w:t>Programme de formation autonome en ligne de 12 modules (offert en français ou en anglais) portant sur quatre thèmes principaux :</w:t>
      </w:r>
    </w:p>
    <w:tbl>
      <w:tblPr>
        <w:tblStyle w:val="TableGrid"/>
        <w:tblW w:w="0" w:type="auto"/>
        <w:tblInd w:w="421" w:type="dxa"/>
        <w:tblLook w:val="04A0" w:firstRow="1" w:lastRow="0" w:firstColumn="1" w:lastColumn="0" w:noHBand="0" w:noVBand="1"/>
      </w:tblPr>
      <w:tblGrid>
        <w:gridCol w:w="1275"/>
        <w:gridCol w:w="3718"/>
        <w:gridCol w:w="1389"/>
        <w:gridCol w:w="3267"/>
      </w:tblGrid>
      <w:tr w:rsidR="00E921E5" w14:paraId="758FFFA3" w14:textId="77777777" w:rsidTr="00212B5C">
        <w:tc>
          <w:tcPr>
            <w:tcW w:w="4993" w:type="dxa"/>
            <w:gridSpan w:val="2"/>
            <w:tcBorders>
              <w:bottom w:val="nil"/>
            </w:tcBorders>
          </w:tcPr>
          <w:p w14:paraId="56EF354C" w14:textId="49381123" w:rsidR="00E921E5" w:rsidRPr="00FD1612" w:rsidRDefault="00E921E5" w:rsidP="00E921E5">
            <w:pPr>
              <w:pStyle w:val="ListParagraph"/>
              <w:numPr>
                <w:ilvl w:val="0"/>
                <w:numId w:val="0"/>
              </w:numPr>
              <w:spacing w:before="40" w:after="40"/>
              <w:contextualSpacing w:val="0"/>
              <w:rPr>
                <w:b/>
                <w:bCs/>
                <w:color w:val="auto"/>
                <w:sz w:val="22"/>
                <w:szCs w:val="22"/>
              </w:rPr>
            </w:pPr>
            <w:r>
              <w:rPr>
                <w:b/>
                <w:color w:val="0070C0"/>
                <w:sz w:val="22"/>
              </w:rPr>
              <w:t>Se préparer à l’emploi</w:t>
            </w:r>
          </w:p>
        </w:tc>
        <w:tc>
          <w:tcPr>
            <w:tcW w:w="4656" w:type="dxa"/>
            <w:gridSpan w:val="2"/>
            <w:tcBorders>
              <w:bottom w:val="nil"/>
            </w:tcBorders>
          </w:tcPr>
          <w:p w14:paraId="73CC095C" w14:textId="7DA9520D" w:rsidR="00E921E5" w:rsidRPr="00FD1612" w:rsidRDefault="00E921E5" w:rsidP="00253F81">
            <w:pPr>
              <w:pStyle w:val="ListParagraph"/>
              <w:numPr>
                <w:ilvl w:val="0"/>
                <w:numId w:val="0"/>
              </w:numPr>
              <w:spacing w:before="80" w:after="0"/>
              <w:contextualSpacing w:val="0"/>
              <w:rPr>
                <w:b/>
                <w:bCs/>
                <w:color w:val="auto"/>
                <w:sz w:val="22"/>
                <w:szCs w:val="22"/>
              </w:rPr>
            </w:pPr>
            <w:r>
              <w:rPr>
                <w:b/>
                <w:color w:val="0070C0"/>
                <w:sz w:val="22"/>
              </w:rPr>
              <w:t>Obtenir un emploi</w:t>
            </w:r>
          </w:p>
        </w:tc>
      </w:tr>
      <w:tr w:rsidR="00E921E5" w14:paraId="093FE16B" w14:textId="77777777" w:rsidTr="00212B5C">
        <w:trPr>
          <w:trHeight w:val="689"/>
        </w:trPr>
        <w:tc>
          <w:tcPr>
            <w:tcW w:w="1275" w:type="dxa"/>
            <w:tcBorders>
              <w:top w:val="nil"/>
              <w:left w:val="single" w:sz="4" w:space="0" w:color="auto"/>
              <w:bottom w:val="nil"/>
              <w:right w:val="nil"/>
            </w:tcBorders>
          </w:tcPr>
          <w:p w14:paraId="304EFBBD" w14:textId="37BE5885" w:rsidR="00E921E5" w:rsidRPr="00FD1612" w:rsidRDefault="00E921E5" w:rsidP="00253F81">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1</w:t>
            </w:r>
          </w:p>
        </w:tc>
        <w:tc>
          <w:tcPr>
            <w:tcW w:w="3718" w:type="dxa"/>
            <w:tcBorders>
              <w:top w:val="nil"/>
              <w:left w:val="nil"/>
              <w:bottom w:val="nil"/>
              <w:right w:val="single" w:sz="4" w:space="0" w:color="auto"/>
            </w:tcBorders>
          </w:tcPr>
          <w:p w14:paraId="611C4E4F" w14:textId="3022C53E" w:rsidR="00E921E5" w:rsidRPr="00FD1612" w:rsidRDefault="00E921E5" w:rsidP="00E921E5">
            <w:pPr>
              <w:pStyle w:val="ListParagraph"/>
              <w:numPr>
                <w:ilvl w:val="0"/>
                <w:numId w:val="0"/>
              </w:numPr>
              <w:spacing w:before="80" w:after="0"/>
              <w:contextualSpacing w:val="0"/>
              <w:rPr>
                <w:bCs/>
                <w:color w:val="auto"/>
                <w:sz w:val="22"/>
                <w:szCs w:val="22"/>
              </w:rPr>
            </w:pPr>
            <w:r>
              <w:rPr>
                <w:color w:val="auto"/>
                <w:sz w:val="22"/>
              </w:rPr>
              <w:t>Connaissance de soi et objectifs d’emploi</w:t>
            </w:r>
          </w:p>
        </w:tc>
        <w:tc>
          <w:tcPr>
            <w:tcW w:w="1389" w:type="dxa"/>
            <w:tcBorders>
              <w:top w:val="nil"/>
              <w:left w:val="single" w:sz="4" w:space="0" w:color="auto"/>
              <w:bottom w:val="nil"/>
              <w:right w:val="nil"/>
            </w:tcBorders>
          </w:tcPr>
          <w:p w14:paraId="15F525F0" w14:textId="4567639A"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4</w:t>
            </w:r>
          </w:p>
        </w:tc>
        <w:tc>
          <w:tcPr>
            <w:tcW w:w="3267" w:type="dxa"/>
            <w:tcBorders>
              <w:top w:val="nil"/>
              <w:left w:val="nil"/>
              <w:bottom w:val="nil"/>
              <w:right w:val="single" w:sz="4" w:space="0" w:color="auto"/>
            </w:tcBorders>
          </w:tcPr>
          <w:p w14:paraId="78BD179D" w14:textId="17F21ECA" w:rsidR="00E921E5" w:rsidRPr="00FD1612" w:rsidRDefault="00253F81" w:rsidP="00253F81">
            <w:pPr>
              <w:pStyle w:val="ListParagraph"/>
              <w:numPr>
                <w:ilvl w:val="0"/>
                <w:numId w:val="0"/>
              </w:numPr>
              <w:spacing w:before="80" w:after="0"/>
              <w:contextualSpacing w:val="0"/>
              <w:rPr>
                <w:b/>
                <w:bCs/>
                <w:color w:val="auto"/>
                <w:sz w:val="22"/>
                <w:szCs w:val="22"/>
              </w:rPr>
            </w:pPr>
            <w:r>
              <w:rPr>
                <w:color w:val="auto"/>
                <w:sz w:val="22"/>
              </w:rPr>
              <w:t>Se préparer pour une entrevue</w:t>
            </w:r>
          </w:p>
        </w:tc>
      </w:tr>
      <w:tr w:rsidR="00E921E5" w14:paraId="5A433E4A" w14:textId="77777777" w:rsidTr="00212B5C">
        <w:tc>
          <w:tcPr>
            <w:tcW w:w="1275" w:type="dxa"/>
            <w:tcBorders>
              <w:top w:val="nil"/>
              <w:left w:val="single" w:sz="4" w:space="0" w:color="auto"/>
              <w:bottom w:val="nil"/>
              <w:right w:val="nil"/>
            </w:tcBorders>
          </w:tcPr>
          <w:p w14:paraId="72B77140" w14:textId="7C3F3DF7" w:rsidR="00E921E5" w:rsidRPr="00FD1612" w:rsidRDefault="00E921E5" w:rsidP="00E921E5">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2</w:t>
            </w:r>
          </w:p>
        </w:tc>
        <w:tc>
          <w:tcPr>
            <w:tcW w:w="3718" w:type="dxa"/>
            <w:tcBorders>
              <w:top w:val="nil"/>
              <w:left w:val="nil"/>
              <w:bottom w:val="nil"/>
              <w:right w:val="single" w:sz="4" w:space="0" w:color="auto"/>
            </w:tcBorders>
          </w:tcPr>
          <w:p w14:paraId="0280AAFA" w14:textId="5E50491B" w:rsidR="00E921E5" w:rsidRPr="00FD1612" w:rsidRDefault="00E921E5" w:rsidP="00E921E5">
            <w:pPr>
              <w:pStyle w:val="ListParagraph"/>
              <w:numPr>
                <w:ilvl w:val="0"/>
                <w:numId w:val="0"/>
              </w:numPr>
              <w:spacing w:before="80" w:after="0"/>
              <w:contextualSpacing w:val="0"/>
              <w:rPr>
                <w:bCs/>
                <w:color w:val="auto"/>
                <w:sz w:val="22"/>
                <w:szCs w:val="22"/>
              </w:rPr>
            </w:pPr>
            <w:r>
              <w:rPr>
                <w:color w:val="auto"/>
                <w:sz w:val="22"/>
              </w:rPr>
              <w:t xml:space="preserve">Faire correspondre </w:t>
            </w:r>
            <w:r w:rsidR="00FD56EB">
              <w:rPr>
                <w:color w:val="auto"/>
                <w:sz w:val="22"/>
              </w:rPr>
              <w:t>se</w:t>
            </w:r>
            <w:r>
              <w:rPr>
                <w:color w:val="auto"/>
                <w:sz w:val="22"/>
              </w:rPr>
              <w:t>s forces à un emploi</w:t>
            </w:r>
          </w:p>
        </w:tc>
        <w:tc>
          <w:tcPr>
            <w:tcW w:w="1389" w:type="dxa"/>
            <w:tcBorders>
              <w:top w:val="nil"/>
              <w:left w:val="single" w:sz="4" w:space="0" w:color="auto"/>
              <w:bottom w:val="nil"/>
              <w:right w:val="nil"/>
            </w:tcBorders>
          </w:tcPr>
          <w:p w14:paraId="1D2BDCB7" w14:textId="260E0626"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5</w:t>
            </w:r>
          </w:p>
        </w:tc>
        <w:tc>
          <w:tcPr>
            <w:tcW w:w="3267" w:type="dxa"/>
            <w:tcBorders>
              <w:top w:val="nil"/>
              <w:left w:val="nil"/>
              <w:bottom w:val="nil"/>
              <w:right w:val="single" w:sz="4" w:space="0" w:color="auto"/>
            </w:tcBorders>
          </w:tcPr>
          <w:p w14:paraId="36BF0C2F" w14:textId="1DE52545" w:rsidR="00E921E5" w:rsidRPr="00FD1612" w:rsidRDefault="00253F81" w:rsidP="00253F81">
            <w:pPr>
              <w:pStyle w:val="ListParagraph"/>
              <w:numPr>
                <w:ilvl w:val="0"/>
                <w:numId w:val="0"/>
              </w:numPr>
              <w:spacing w:before="80" w:after="0"/>
              <w:contextualSpacing w:val="0"/>
              <w:rPr>
                <w:b/>
                <w:bCs/>
                <w:color w:val="auto"/>
                <w:sz w:val="22"/>
                <w:szCs w:val="22"/>
              </w:rPr>
            </w:pPr>
            <w:r>
              <w:rPr>
                <w:color w:val="auto"/>
                <w:sz w:val="22"/>
              </w:rPr>
              <w:t>Recherche et demandes d’emploi</w:t>
            </w:r>
          </w:p>
        </w:tc>
      </w:tr>
      <w:tr w:rsidR="00E921E5" w14:paraId="745BBFE9" w14:textId="77777777" w:rsidTr="00212B5C">
        <w:tc>
          <w:tcPr>
            <w:tcW w:w="1275" w:type="dxa"/>
            <w:tcBorders>
              <w:top w:val="nil"/>
              <w:left w:val="single" w:sz="4" w:space="0" w:color="auto"/>
              <w:bottom w:val="single" w:sz="4" w:space="0" w:color="auto"/>
              <w:right w:val="nil"/>
            </w:tcBorders>
          </w:tcPr>
          <w:p w14:paraId="60B98734" w14:textId="6171601C" w:rsidR="00E921E5" w:rsidRPr="00FD1612" w:rsidRDefault="00E921E5" w:rsidP="00E921E5">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3</w:t>
            </w:r>
          </w:p>
        </w:tc>
        <w:tc>
          <w:tcPr>
            <w:tcW w:w="3718" w:type="dxa"/>
            <w:tcBorders>
              <w:top w:val="nil"/>
              <w:left w:val="nil"/>
              <w:bottom w:val="single" w:sz="4" w:space="0" w:color="auto"/>
              <w:right w:val="single" w:sz="4" w:space="0" w:color="auto"/>
            </w:tcBorders>
          </w:tcPr>
          <w:p w14:paraId="4884CC6D" w14:textId="537D6DE2" w:rsidR="00E921E5" w:rsidRPr="00FD1612" w:rsidRDefault="00E921E5" w:rsidP="00E921E5">
            <w:pPr>
              <w:pStyle w:val="ListParagraph"/>
              <w:numPr>
                <w:ilvl w:val="0"/>
                <w:numId w:val="0"/>
              </w:numPr>
              <w:spacing w:before="80" w:after="0"/>
              <w:contextualSpacing w:val="0"/>
              <w:rPr>
                <w:bCs/>
                <w:color w:val="auto"/>
                <w:sz w:val="22"/>
                <w:szCs w:val="22"/>
              </w:rPr>
            </w:pPr>
            <w:r>
              <w:rPr>
                <w:color w:val="auto"/>
                <w:sz w:val="22"/>
              </w:rPr>
              <w:t>Rédaction du CV et de la lettre de présentation</w:t>
            </w:r>
          </w:p>
        </w:tc>
        <w:tc>
          <w:tcPr>
            <w:tcW w:w="1389" w:type="dxa"/>
            <w:tcBorders>
              <w:top w:val="nil"/>
              <w:left w:val="single" w:sz="4" w:space="0" w:color="auto"/>
              <w:bottom w:val="single" w:sz="4" w:space="0" w:color="auto"/>
              <w:right w:val="nil"/>
            </w:tcBorders>
          </w:tcPr>
          <w:p w14:paraId="29A35913" w14:textId="52210744"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6</w:t>
            </w:r>
          </w:p>
        </w:tc>
        <w:tc>
          <w:tcPr>
            <w:tcW w:w="3267" w:type="dxa"/>
            <w:tcBorders>
              <w:top w:val="nil"/>
              <w:left w:val="nil"/>
              <w:bottom w:val="single" w:sz="4" w:space="0" w:color="auto"/>
              <w:right w:val="single" w:sz="4" w:space="0" w:color="auto"/>
            </w:tcBorders>
          </w:tcPr>
          <w:p w14:paraId="7A9D01D2" w14:textId="31C532F5" w:rsidR="00E921E5" w:rsidRPr="00FD1612" w:rsidRDefault="00253F81" w:rsidP="00253F81">
            <w:pPr>
              <w:pStyle w:val="ListParagraph"/>
              <w:numPr>
                <w:ilvl w:val="0"/>
                <w:numId w:val="0"/>
              </w:numPr>
              <w:spacing w:before="80" w:after="0"/>
              <w:contextualSpacing w:val="0"/>
              <w:rPr>
                <w:b/>
                <w:bCs/>
                <w:color w:val="auto"/>
                <w:sz w:val="22"/>
                <w:szCs w:val="22"/>
              </w:rPr>
            </w:pPr>
            <w:r>
              <w:rPr>
                <w:color w:val="auto"/>
                <w:sz w:val="22"/>
              </w:rPr>
              <w:t>La communication au travail</w:t>
            </w:r>
          </w:p>
        </w:tc>
      </w:tr>
      <w:tr w:rsidR="00253F81" w14:paraId="25F56F36" w14:textId="77777777" w:rsidTr="00212B5C">
        <w:tc>
          <w:tcPr>
            <w:tcW w:w="4993" w:type="dxa"/>
            <w:gridSpan w:val="2"/>
            <w:tcBorders>
              <w:top w:val="single" w:sz="4" w:space="0" w:color="auto"/>
              <w:bottom w:val="nil"/>
              <w:right w:val="single" w:sz="4" w:space="0" w:color="auto"/>
            </w:tcBorders>
          </w:tcPr>
          <w:p w14:paraId="2E5AF23D" w14:textId="5825EB14" w:rsidR="00253F81" w:rsidRPr="00FD1612" w:rsidRDefault="00253F81" w:rsidP="00253F81">
            <w:pPr>
              <w:pStyle w:val="ListParagraph"/>
              <w:numPr>
                <w:ilvl w:val="0"/>
                <w:numId w:val="0"/>
              </w:numPr>
              <w:spacing w:before="80" w:after="0"/>
              <w:contextualSpacing w:val="0"/>
              <w:rPr>
                <w:b/>
                <w:bCs/>
                <w:color w:val="auto"/>
                <w:sz w:val="22"/>
                <w:szCs w:val="22"/>
              </w:rPr>
            </w:pPr>
            <w:r>
              <w:rPr>
                <w:b/>
                <w:color w:val="0070C0"/>
                <w:sz w:val="22"/>
              </w:rPr>
              <w:t>Conserver un emploi</w:t>
            </w:r>
          </w:p>
        </w:tc>
        <w:tc>
          <w:tcPr>
            <w:tcW w:w="4656" w:type="dxa"/>
            <w:gridSpan w:val="2"/>
            <w:tcBorders>
              <w:top w:val="single" w:sz="4" w:space="0" w:color="auto"/>
              <w:left w:val="single" w:sz="4" w:space="0" w:color="auto"/>
              <w:bottom w:val="nil"/>
              <w:right w:val="single" w:sz="4" w:space="0" w:color="auto"/>
            </w:tcBorders>
          </w:tcPr>
          <w:p w14:paraId="4D969C42" w14:textId="10F14B31" w:rsidR="00253F81" w:rsidRPr="00FD1612" w:rsidRDefault="00253F81" w:rsidP="00253F81">
            <w:pPr>
              <w:pStyle w:val="ListParagraph"/>
              <w:numPr>
                <w:ilvl w:val="0"/>
                <w:numId w:val="0"/>
              </w:numPr>
              <w:spacing w:before="80" w:after="0"/>
              <w:contextualSpacing w:val="0"/>
              <w:rPr>
                <w:b/>
                <w:bCs/>
                <w:color w:val="0070C0"/>
                <w:sz w:val="22"/>
                <w:szCs w:val="22"/>
              </w:rPr>
            </w:pPr>
            <w:r>
              <w:rPr>
                <w:b/>
                <w:color w:val="0070C0"/>
                <w:sz w:val="22"/>
              </w:rPr>
              <w:t>S’épanouir au travail</w:t>
            </w:r>
          </w:p>
        </w:tc>
      </w:tr>
      <w:tr w:rsidR="00E921E5" w14:paraId="151538C2" w14:textId="77777777" w:rsidTr="00212B5C">
        <w:tc>
          <w:tcPr>
            <w:tcW w:w="1275" w:type="dxa"/>
            <w:tcBorders>
              <w:top w:val="nil"/>
              <w:left w:val="single" w:sz="4" w:space="0" w:color="auto"/>
              <w:bottom w:val="nil"/>
              <w:right w:val="nil"/>
            </w:tcBorders>
          </w:tcPr>
          <w:p w14:paraId="53B83F49" w14:textId="77C7A820" w:rsidR="00E921E5" w:rsidRPr="00FD1612" w:rsidRDefault="00E921E5" w:rsidP="00E921E5">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7</w:t>
            </w:r>
          </w:p>
        </w:tc>
        <w:tc>
          <w:tcPr>
            <w:tcW w:w="3718" w:type="dxa"/>
            <w:tcBorders>
              <w:top w:val="nil"/>
              <w:left w:val="nil"/>
              <w:bottom w:val="nil"/>
              <w:right w:val="single" w:sz="4" w:space="0" w:color="auto"/>
            </w:tcBorders>
          </w:tcPr>
          <w:p w14:paraId="5E60B719" w14:textId="58870901" w:rsidR="00E921E5" w:rsidRPr="00FD1612" w:rsidRDefault="00E921E5" w:rsidP="00253F81">
            <w:pPr>
              <w:pStyle w:val="ListParagraph"/>
              <w:numPr>
                <w:ilvl w:val="0"/>
                <w:numId w:val="0"/>
              </w:numPr>
              <w:spacing w:before="80" w:after="0"/>
              <w:contextualSpacing w:val="0"/>
              <w:rPr>
                <w:b/>
                <w:bCs/>
                <w:color w:val="auto"/>
                <w:sz w:val="22"/>
                <w:szCs w:val="22"/>
              </w:rPr>
            </w:pPr>
            <w:r>
              <w:rPr>
                <w:color w:val="auto"/>
                <w:sz w:val="22"/>
              </w:rPr>
              <w:t>Une attitude et un comportement professionnels</w:t>
            </w:r>
          </w:p>
        </w:tc>
        <w:tc>
          <w:tcPr>
            <w:tcW w:w="1389" w:type="dxa"/>
            <w:tcBorders>
              <w:top w:val="nil"/>
              <w:left w:val="single" w:sz="4" w:space="0" w:color="auto"/>
              <w:bottom w:val="nil"/>
              <w:right w:val="nil"/>
            </w:tcBorders>
          </w:tcPr>
          <w:p w14:paraId="3F5D2348" w14:textId="60C0F00D"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10</w:t>
            </w:r>
          </w:p>
        </w:tc>
        <w:tc>
          <w:tcPr>
            <w:tcW w:w="3267" w:type="dxa"/>
            <w:tcBorders>
              <w:top w:val="nil"/>
              <w:left w:val="nil"/>
              <w:bottom w:val="nil"/>
              <w:right w:val="single" w:sz="4" w:space="0" w:color="auto"/>
            </w:tcBorders>
          </w:tcPr>
          <w:p w14:paraId="731F5BE4" w14:textId="61D41B08"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Divulgation des besoins et demandes d’adaptation</w:t>
            </w:r>
          </w:p>
        </w:tc>
      </w:tr>
      <w:tr w:rsidR="00E921E5" w14:paraId="3087CBBE" w14:textId="77777777" w:rsidTr="00212B5C">
        <w:tc>
          <w:tcPr>
            <w:tcW w:w="1275" w:type="dxa"/>
            <w:tcBorders>
              <w:top w:val="nil"/>
              <w:left w:val="single" w:sz="4" w:space="0" w:color="auto"/>
              <w:bottom w:val="nil"/>
              <w:right w:val="nil"/>
            </w:tcBorders>
          </w:tcPr>
          <w:p w14:paraId="6A2F38ED" w14:textId="1EF79E21" w:rsidR="00E921E5" w:rsidRPr="00FD1612" w:rsidRDefault="00253F81" w:rsidP="00E921E5">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8</w:t>
            </w:r>
          </w:p>
        </w:tc>
        <w:tc>
          <w:tcPr>
            <w:tcW w:w="3718" w:type="dxa"/>
            <w:tcBorders>
              <w:top w:val="nil"/>
              <w:left w:val="nil"/>
              <w:bottom w:val="nil"/>
              <w:right w:val="single" w:sz="4" w:space="0" w:color="auto"/>
            </w:tcBorders>
          </w:tcPr>
          <w:p w14:paraId="30A7BCC2" w14:textId="19F6A739"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Les interactions dans le milieu de travail</w:t>
            </w:r>
          </w:p>
        </w:tc>
        <w:tc>
          <w:tcPr>
            <w:tcW w:w="1389" w:type="dxa"/>
            <w:tcBorders>
              <w:top w:val="nil"/>
              <w:left w:val="single" w:sz="4" w:space="0" w:color="auto"/>
              <w:bottom w:val="nil"/>
              <w:right w:val="nil"/>
            </w:tcBorders>
          </w:tcPr>
          <w:p w14:paraId="2E011E18" w14:textId="10954BBA"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11</w:t>
            </w:r>
          </w:p>
        </w:tc>
        <w:tc>
          <w:tcPr>
            <w:tcW w:w="3267" w:type="dxa"/>
            <w:tcBorders>
              <w:top w:val="nil"/>
              <w:left w:val="nil"/>
              <w:bottom w:val="nil"/>
              <w:right w:val="single" w:sz="4" w:space="0" w:color="auto"/>
            </w:tcBorders>
          </w:tcPr>
          <w:p w14:paraId="7BEC3A5C" w14:textId="6E73A015"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Comprendre la paie</w:t>
            </w:r>
          </w:p>
        </w:tc>
      </w:tr>
      <w:tr w:rsidR="00E921E5" w14:paraId="091D3756" w14:textId="77777777" w:rsidTr="00212B5C">
        <w:tc>
          <w:tcPr>
            <w:tcW w:w="1275" w:type="dxa"/>
            <w:tcBorders>
              <w:top w:val="nil"/>
              <w:left w:val="single" w:sz="4" w:space="0" w:color="auto"/>
              <w:bottom w:val="single" w:sz="4" w:space="0" w:color="auto"/>
              <w:right w:val="nil"/>
            </w:tcBorders>
          </w:tcPr>
          <w:p w14:paraId="649FF649" w14:textId="302F53CD" w:rsidR="00E921E5" w:rsidRPr="00FD1612" w:rsidRDefault="00253F81" w:rsidP="00253F81">
            <w:pPr>
              <w:pStyle w:val="ListParagraph"/>
              <w:numPr>
                <w:ilvl w:val="0"/>
                <w:numId w:val="0"/>
              </w:numPr>
              <w:spacing w:before="80" w:after="0"/>
              <w:rPr>
                <w:bCs/>
                <w:color w:val="auto"/>
                <w:sz w:val="22"/>
                <w:szCs w:val="22"/>
              </w:rPr>
            </w:pPr>
            <w:r>
              <w:rPr>
                <w:color w:val="auto"/>
                <w:sz w:val="22"/>
              </w:rPr>
              <w:t>Module</w:t>
            </w:r>
            <w:r w:rsidR="00A81978">
              <w:rPr>
                <w:color w:val="auto"/>
                <w:sz w:val="22"/>
              </w:rPr>
              <w:t> </w:t>
            </w:r>
            <w:r>
              <w:rPr>
                <w:color w:val="auto"/>
                <w:sz w:val="22"/>
              </w:rPr>
              <w:t>9</w:t>
            </w:r>
          </w:p>
        </w:tc>
        <w:tc>
          <w:tcPr>
            <w:tcW w:w="3718" w:type="dxa"/>
            <w:tcBorders>
              <w:top w:val="nil"/>
              <w:left w:val="nil"/>
              <w:bottom w:val="single" w:sz="4" w:space="0" w:color="auto"/>
              <w:right w:val="single" w:sz="4" w:space="0" w:color="auto"/>
            </w:tcBorders>
          </w:tcPr>
          <w:p w14:paraId="67B84C8C" w14:textId="09936332" w:rsidR="00E921E5" w:rsidRPr="00FD1612" w:rsidRDefault="00253F81" w:rsidP="00253F81">
            <w:pPr>
              <w:pStyle w:val="ListParagraph"/>
              <w:numPr>
                <w:ilvl w:val="0"/>
                <w:numId w:val="0"/>
              </w:numPr>
              <w:spacing w:before="80" w:after="0"/>
              <w:contextualSpacing w:val="0"/>
              <w:rPr>
                <w:b/>
                <w:bCs/>
                <w:color w:val="auto"/>
                <w:sz w:val="22"/>
                <w:szCs w:val="22"/>
              </w:rPr>
            </w:pPr>
            <w:r>
              <w:rPr>
                <w:color w:val="auto"/>
                <w:sz w:val="22"/>
              </w:rPr>
              <w:t>Gestion du stress au travail</w:t>
            </w:r>
          </w:p>
        </w:tc>
        <w:tc>
          <w:tcPr>
            <w:tcW w:w="1389" w:type="dxa"/>
            <w:tcBorders>
              <w:top w:val="nil"/>
              <w:left w:val="single" w:sz="4" w:space="0" w:color="auto"/>
              <w:bottom w:val="single" w:sz="4" w:space="0" w:color="auto"/>
              <w:right w:val="nil"/>
            </w:tcBorders>
          </w:tcPr>
          <w:p w14:paraId="245D84A2" w14:textId="22AC3363"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Module</w:t>
            </w:r>
            <w:r w:rsidR="00A81978">
              <w:rPr>
                <w:color w:val="auto"/>
                <w:sz w:val="22"/>
              </w:rPr>
              <w:t> </w:t>
            </w:r>
            <w:r>
              <w:rPr>
                <w:color w:val="auto"/>
                <w:sz w:val="22"/>
              </w:rPr>
              <w:t>12</w:t>
            </w:r>
          </w:p>
        </w:tc>
        <w:tc>
          <w:tcPr>
            <w:tcW w:w="3267" w:type="dxa"/>
            <w:tcBorders>
              <w:top w:val="nil"/>
              <w:left w:val="nil"/>
              <w:bottom w:val="single" w:sz="4" w:space="0" w:color="auto"/>
              <w:right w:val="single" w:sz="4" w:space="0" w:color="auto"/>
            </w:tcBorders>
          </w:tcPr>
          <w:p w14:paraId="32B5F24D" w14:textId="70742FE7" w:rsidR="00E921E5" w:rsidRPr="00FD1612" w:rsidRDefault="00253F81" w:rsidP="00253F81">
            <w:pPr>
              <w:pStyle w:val="ListParagraph"/>
              <w:numPr>
                <w:ilvl w:val="0"/>
                <w:numId w:val="0"/>
              </w:numPr>
              <w:spacing w:before="80" w:after="0"/>
              <w:contextualSpacing w:val="0"/>
              <w:rPr>
                <w:bCs/>
                <w:color w:val="auto"/>
                <w:sz w:val="22"/>
                <w:szCs w:val="22"/>
              </w:rPr>
            </w:pPr>
            <w:r>
              <w:rPr>
                <w:color w:val="auto"/>
                <w:sz w:val="22"/>
              </w:rPr>
              <w:t>Établir un plan de carrière</w:t>
            </w:r>
          </w:p>
        </w:tc>
      </w:tr>
    </w:tbl>
    <w:p w14:paraId="598A1255" w14:textId="3BE79778" w:rsidR="00F100ED" w:rsidRDefault="001A09EB" w:rsidP="00C73F57">
      <w:pPr>
        <w:pStyle w:val="ListParagraph"/>
        <w:numPr>
          <w:ilvl w:val="0"/>
          <w:numId w:val="8"/>
        </w:numPr>
        <w:spacing w:after="0"/>
        <w:ind w:left="714" w:hanging="357"/>
        <w:contextualSpacing w:val="0"/>
        <w:rPr>
          <w:bCs/>
          <w:color w:val="auto"/>
          <w:sz w:val="24"/>
          <w:szCs w:val="24"/>
        </w:rPr>
      </w:pPr>
      <w:r>
        <w:rPr>
          <w:color w:val="auto"/>
          <w:sz w:val="24"/>
        </w:rPr>
        <w:lastRenderedPageBreak/>
        <w:t xml:space="preserve">Portail Spectre </w:t>
      </w:r>
      <w:r w:rsidR="00FD56EB">
        <w:rPr>
          <w:color w:val="auto"/>
          <w:sz w:val="24"/>
        </w:rPr>
        <w:t>e</w:t>
      </w:r>
      <w:r>
        <w:rPr>
          <w:color w:val="auto"/>
          <w:sz w:val="24"/>
        </w:rPr>
        <w:t>mploi</w:t>
      </w:r>
    </w:p>
    <w:p w14:paraId="5BBB9330" w14:textId="77777777" w:rsidR="00C73F57" w:rsidRPr="005C5DBA" w:rsidRDefault="00C73F57" w:rsidP="00C73F57">
      <w:pPr>
        <w:pStyle w:val="ListParagraph"/>
        <w:numPr>
          <w:ilvl w:val="0"/>
          <w:numId w:val="0"/>
        </w:numPr>
        <w:spacing w:after="0"/>
        <w:ind w:left="714"/>
        <w:contextualSpacing w:val="0"/>
        <w:rPr>
          <w:bCs/>
          <w:color w:val="auto"/>
          <w:sz w:val="24"/>
          <w:szCs w:val="24"/>
          <w:lang w:val="en-CA"/>
        </w:rPr>
      </w:pPr>
    </w:p>
    <w:p w14:paraId="2CB2C78C" w14:textId="349B8B5E" w:rsidR="00C73F57" w:rsidRDefault="001A09EB" w:rsidP="00C73F57">
      <w:pPr>
        <w:spacing w:after="0"/>
        <w:ind w:left="357"/>
        <w:rPr>
          <w:bCs/>
          <w:color w:val="auto"/>
          <w:sz w:val="22"/>
          <w:szCs w:val="22"/>
        </w:rPr>
      </w:pPr>
      <w:r>
        <w:rPr>
          <w:color w:val="auto"/>
          <w:sz w:val="22"/>
        </w:rPr>
        <w:t xml:space="preserve">Portail en ligne accessible à partir du site Internet de </w:t>
      </w:r>
      <w:r w:rsidR="00FD56EB">
        <w:rPr>
          <w:color w:val="auto"/>
          <w:sz w:val="22"/>
        </w:rPr>
        <w:t>Spectre emploi</w:t>
      </w:r>
      <w:r>
        <w:rPr>
          <w:color w:val="auto"/>
          <w:sz w:val="22"/>
        </w:rPr>
        <w:t>. Il présente de l’information, des ressources, des stratégies, des activités et des outils au soutien de la recherche d’emploi et au sujet d’obstacles fréquemment rencontrés. Le contenu est actuellement disponible en anglais seulement.</w:t>
      </w:r>
    </w:p>
    <w:p w14:paraId="37E035E2" w14:textId="1A1B8465" w:rsidR="0038796F" w:rsidRPr="00C73F57" w:rsidRDefault="0083505E" w:rsidP="00C73F57">
      <w:pPr>
        <w:spacing w:after="0"/>
        <w:ind w:left="357"/>
        <w:rPr>
          <w:bCs/>
          <w:color w:val="auto"/>
          <w:sz w:val="24"/>
          <w:szCs w:val="24"/>
        </w:rPr>
      </w:pPr>
      <w:r>
        <w:rPr>
          <w:color w:val="auto"/>
          <w:sz w:val="22"/>
        </w:rPr>
        <w:t xml:space="preserve"> </w:t>
      </w:r>
    </w:p>
    <w:p w14:paraId="29688C1F" w14:textId="703E040E" w:rsidR="001A09EB" w:rsidRDefault="0038796F" w:rsidP="00C73F57">
      <w:pPr>
        <w:spacing w:after="0"/>
        <w:ind w:left="357"/>
        <w:rPr>
          <w:bCs/>
          <w:color w:val="auto"/>
          <w:sz w:val="22"/>
          <w:szCs w:val="22"/>
        </w:rPr>
      </w:pPr>
      <w:r>
        <w:rPr>
          <w:color w:val="auto"/>
          <w:sz w:val="22"/>
        </w:rPr>
        <w:t xml:space="preserve">Les sujets abordés comprennent l’établissement d’objectifs, la communication, l’engagement, la confiance, la divulgation et la défense des droits ainsi que divers aspects de la préparation à l’emploi tels que la précision, le rendement, la productivité, les sujets de conversation appropriés, la réciprocité lors de conversations, la réponse à la rétroaction, la présentation, l’hygiène et les soins personnels, la sécurité, la souplesse, l’anxiété, l’autogestion et les demandes d’aide. </w:t>
      </w:r>
    </w:p>
    <w:p w14:paraId="06EB8D77" w14:textId="77777777" w:rsidR="00C73F57" w:rsidRPr="00C73F57" w:rsidRDefault="00C73F57" w:rsidP="00C73F57">
      <w:pPr>
        <w:spacing w:after="0"/>
        <w:ind w:left="357"/>
        <w:rPr>
          <w:bCs/>
          <w:color w:val="auto"/>
          <w:sz w:val="24"/>
          <w:szCs w:val="24"/>
          <w:lang w:val="en-CA"/>
        </w:rPr>
      </w:pPr>
    </w:p>
    <w:p w14:paraId="586187D2" w14:textId="0FFBF3AF" w:rsidR="0038796F" w:rsidRPr="005C5DBA" w:rsidRDefault="00C71498" w:rsidP="00C73F57">
      <w:pPr>
        <w:pStyle w:val="ListParagraph"/>
        <w:numPr>
          <w:ilvl w:val="0"/>
          <w:numId w:val="8"/>
        </w:numPr>
        <w:spacing w:after="120"/>
        <w:ind w:left="357" w:firstLine="0"/>
        <w:contextualSpacing w:val="0"/>
        <w:rPr>
          <w:bCs/>
          <w:color w:val="auto"/>
          <w:sz w:val="24"/>
          <w:szCs w:val="24"/>
        </w:rPr>
      </w:pPr>
      <w:r>
        <w:rPr>
          <w:color w:val="auto"/>
          <w:sz w:val="24"/>
        </w:rPr>
        <w:t>Des ressources utiles pour acquérir et mettre en pratique des compétences pertinentes à l’emploi et développer la confiance en soi nécessaire pour réussir dans le milieu du travail, y compris :</w:t>
      </w:r>
    </w:p>
    <w:p w14:paraId="6090D5E6" w14:textId="162E904A" w:rsidR="005C5DBA" w:rsidRPr="00742DD8" w:rsidRDefault="005C5DBA" w:rsidP="005C5DBA">
      <w:pPr>
        <w:pStyle w:val="ListParagraph"/>
        <w:numPr>
          <w:ilvl w:val="0"/>
          <w:numId w:val="10"/>
        </w:numPr>
        <w:spacing w:before="240" w:after="0"/>
        <w:rPr>
          <w:bCs/>
          <w:color w:val="auto"/>
          <w:sz w:val="22"/>
          <w:szCs w:val="22"/>
        </w:rPr>
      </w:pPr>
      <w:r>
        <w:rPr>
          <w:color w:val="auto"/>
          <w:sz w:val="22"/>
        </w:rPr>
        <w:t>des vidéo</w:t>
      </w:r>
      <w:r w:rsidR="00280EDA">
        <w:rPr>
          <w:color w:val="auto"/>
          <w:sz w:val="22"/>
        </w:rPr>
        <w:t>s</w:t>
      </w:r>
      <w:r>
        <w:rPr>
          <w:color w:val="auto"/>
          <w:sz w:val="22"/>
        </w:rPr>
        <w:t xml:space="preserve"> d’aperçus d’emplois permettant d’explorer des postes de premier échelon dans divers secteurs d’activité;</w:t>
      </w:r>
    </w:p>
    <w:p w14:paraId="73EB2AA1" w14:textId="4CF7A313" w:rsidR="005C5DBA" w:rsidRPr="00742DD8" w:rsidRDefault="005C5DBA" w:rsidP="0038796F">
      <w:pPr>
        <w:pStyle w:val="ListParagraph"/>
        <w:numPr>
          <w:ilvl w:val="0"/>
          <w:numId w:val="10"/>
        </w:numPr>
        <w:spacing w:before="240" w:after="0"/>
        <w:rPr>
          <w:bCs/>
          <w:color w:val="auto"/>
          <w:sz w:val="22"/>
          <w:szCs w:val="22"/>
        </w:rPr>
      </w:pPr>
      <w:r>
        <w:rPr>
          <w:color w:val="auto"/>
          <w:sz w:val="22"/>
        </w:rPr>
        <w:t xml:space="preserve">des vidéos de scénarios interactifs qui permettent de s’exercer à la résolution de problèmes et </w:t>
      </w:r>
      <w:r w:rsidR="001734CF">
        <w:rPr>
          <w:color w:val="auto"/>
          <w:sz w:val="22"/>
        </w:rPr>
        <w:t xml:space="preserve">à </w:t>
      </w:r>
      <w:r>
        <w:rPr>
          <w:color w:val="auto"/>
          <w:sz w:val="22"/>
        </w:rPr>
        <w:t xml:space="preserve">la pensée critique; </w:t>
      </w:r>
    </w:p>
    <w:p w14:paraId="36F88761" w14:textId="77777777" w:rsidR="007A4618" w:rsidRDefault="007A4618" w:rsidP="0038796F">
      <w:pPr>
        <w:pStyle w:val="ListParagraph"/>
        <w:numPr>
          <w:ilvl w:val="0"/>
          <w:numId w:val="10"/>
        </w:numPr>
        <w:spacing w:before="240" w:after="0"/>
        <w:rPr>
          <w:bCs/>
          <w:color w:val="auto"/>
          <w:sz w:val="22"/>
          <w:szCs w:val="22"/>
        </w:rPr>
      </w:pPr>
      <w:r>
        <w:rPr>
          <w:color w:val="auto"/>
          <w:sz w:val="22"/>
        </w:rPr>
        <w:t>des simulations de milieux d’emploi virtuels, y compris une caisse enregistreuse permettant de s’exercer au travail de caisse;</w:t>
      </w:r>
    </w:p>
    <w:p w14:paraId="569B0B87" w14:textId="01A8C00D" w:rsidR="0038796F" w:rsidRPr="00742DD8" w:rsidRDefault="00C90FF7" w:rsidP="0038796F">
      <w:pPr>
        <w:pStyle w:val="ListParagraph"/>
        <w:numPr>
          <w:ilvl w:val="0"/>
          <w:numId w:val="10"/>
        </w:numPr>
        <w:spacing w:before="240" w:after="0"/>
        <w:rPr>
          <w:bCs/>
          <w:color w:val="auto"/>
          <w:sz w:val="22"/>
          <w:szCs w:val="22"/>
        </w:rPr>
      </w:pPr>
      <w:r>
        <w:rPr>
          <w:color w:val="auto"/>
          <w:sz w:val="22"/>
        </w:rPr>
        <w:t xml:space="preserve">des cours LinkedIn Learning afin d’acquérir des connaissances et des microcertifications. </w:t>
      </w:r>
    </w:p>
    <w:p w14:paraId="0A56E6D3" w14:textId="77777777" w:rsidR="007A4618" w:rsidRDefault="007A4618" w:rsidP="00C73F57">
      <w:pPr>
        <w:pStyle w:val="ListParagraph"/>
        <w:numPr>
          <w:ilvl w:val="0"/>
          <w:numId w:val="0"/>
        </w:numPr>
        <w:spacing w:before="240" w:after="0"/>
        <w:ind w:left="1080"/>
        <w:rPr>
          <w:color w:val="auto"/>
          <w:sz w:val="22"/>
          <w:szCs w:val="22"/>
          <w:lang w:val="en-CA"/>
        </w:rPr>
      </w:pPr>
    </w:p>
    <w:p w14:paraId="1E9EE59C" w14:textId="28B66CD4" w:rsidR="007A4618" w:rsidRDefault="007A4618" w:rsidP="007A4618">
      <w:pPr>
        <w:pStyle w:val="ListParagraph"/>
        <w:numPr>
          <w:ilvl w:val="0"/>
          <w:numId w:val="0"/>
        </w:numPr>
        <w:spacing w:before="240" w:after="0"/>
        <w:ind w:left="709"/>
        <w:rPr>
          <w:color w:val="auto"/>
          <w:sz w:val="22"/>
          <w:szCs w:val="22"/>
        </w:rPr>
      </w:pPr>
      <w:r>
        <w:rPr>
          <w:color w:val="auto"/>
          <w:sz w:val="22"/>
        </w:rPr>
        <w:t>Remarque : Les cours LinkedIn Learning sont offerts en plusieurs langues. Les autres ressources indiquées ci-dessus sont offertes en français et en anglais.</w:t>
      </w:r>
    </w:p>
    <w:p w14:paraId="1677933E" w14:textId="77777777" w:rsidR="007A4618" w:rsidRPr="007A4618" w:rsidRDefault="007A4618" w:rsidP="00C73F57">
      <w:pPr>
        <w:pStyle w:val="ListParagraph"/>
        <w:numPr>
          <w:ilvl w:val="0"/>
          <w:numId w:val="0"/>
        </w:numPr>
        <w:spacing w:before="240" w:after="0"/>
        <w:ind w:left="1080"/>
        <w:rPr>
          <w:color w:val="auto"/>
          <w:sz w:val="24"/>
          <w:szCs w:val="24"/>
          <w:lang w:val="en-CA"/>
        </w:rPr>
      </w:pPr>
    </w:p>
    <w:p w14:paraId="5F902F34" w14:textId="77777777" w:rsidR="000A7975" w:rsidRDefault="005C5DBA" w:rsidP="00C73F57">
      <w:pPr>
        <w:pStyle w:val="ListParagraph"/>
        <w:numPr>
          <w:ilvl w:val="0"/>
          <w:numId w:val="8"/>
        </w:numPr>
        <w:spacing w:after="120"/>
        <w:ind w:left="714" w:hanging="357"/>
        <w:contextualSpacing w:val="0"/>
        <w:rPr>
          <w:bCs/>
          <w:color w:val="auto"/>
          <w:sz w:val="24"/>
          <w:szCs w:val="24"/>
        </w:rPr>
      </w:pPr>
      <w:r>
        <w:rPr>
          <w:color w:val="auto"/>
          <w:sz w:val="24"/>
        </w:rPr>
        <w:t>Accès à des mesures de soutien à l’emploi.</w:t>
      </w:r>
    </w:p>
    <w:p w14:paraId="6C0B30F9" w14:textId="5BE9E55D" w:rsidR="00BE7791" w:rsidRPr="00795E23" w:rsidRDefault="000A7975" w:rsidP="000A7975">
      <w:pPr>
        <w:pStyle w:val="ListParagraph"/>
        <w:numPr>
          <w:ilvl w:val="0"/>
          <w:numId w:val="18"/>
        </w:numPr>
        <w:spacing w:before="240" w:after="0"/>
        <w:ind w:left="993"/>
        <w:rPr>
          <w:bCs/>
          <w:color w:val="auto"/>
          <w:sz w:val="22"/>
          <w:szCs w:val="22"/>
        </w:rPr>
      </w:pPr>
      <w:r>
        <w:rPr>
          <w:color w:val="auto"/>
          <w:sz w:val="22"/>
        </w:rPr>
        <w:t>Comprend l’encadrement pré-emploi, la formation et la certification, l’encadrement en emploi, des outils ou de l’équipement de travail, etc. Les mesures de soutien peuvent aussi inclure la mise en relation avec un mentor si désiré, ce qui offre aux participant·es du programme une occasion d’obtenir de l’information réaliste au sujet d’un emploi ou d’une carrière potentielle de la part de personnes d’expérience.</w:t>
      </w:r>
    </w:p>
    <w:p w14:paraId="691FB82D" w14:textId="77777777" w:rsidR="00C7174D" w:rsidRPr="00617157" w:rsidRDefault="00C7174D" w:rsidP="00C7174D">
      <w:pPr>
        <w:pStyle w:val="ListParagraph"/>
        <w:numPr>
          <w:ilvl w:val="0"/>
          <w:numId w:val="0"/>
        </w:numPr>
        <w:spacing w:before="240" w:after="0"/>
        <w:ind w:left="720"/>
        <w:rPr>
          <w:bCs/>
          <w:color w:val="auto"/>
          <w:sz w:val="24"/>
          <w:szCs w:val="24"/>
          <w:lang w:val="en-CA"/>
        </w:rPr>
      </w:pPr>
    </w:p>
    <w:p w14:paraId="028AD58E" w14:textId="09194DC6" w:rsidR="00C7174D" w:rsidRDefault="00C7174D" w:rsidP="007A4618">
      <w:pPr>
        <w:pStyle w:val="ListParagraph"/>
        <w:numPr>
          <w:ilvl w:val="0"/>
          <w:numId w:val="8"/>
        </w:numPr>
        <w:spacing w:after="120"/>
        <w:ind w:left="714" w:hanging="357"/>
        <w:contextualSpacing w:val="0"/>
        <w:rPr>
          <w:bCs/>
          <w:color w:val="auto"/>
          <w:sz w:val="24"/>
          <w:szCs w:val="24"/>
        </w:rPr>
      </w:pPr>
      <w:r>
        <w:rPr>
          <w:color w:val="auto"/>
          <w:sz w:val="24"/>
        </w:rPr>
        <w:t>Accès à jusqu’à 360 heures d’expérience de travail subventionnée.</w:t>
      </w:r>
    </w:p>
    <w:p w14:paraId="0A4E5413" w14:textId="7979D010" w:rsidR="00BE7791" w:rsidRPr="00795E23" w:rsidRDefault="00BE7791" w:rsidP="00BE7791">
      <w:pPr>
        <w:pStyle w:val="ListParagraph"/>
        <w:numPr>
          <w:ilvl w:val="0"/>
          <w:numId w:val="16"/>
        </w:numPr>
        <w:ind w:left="1134"/>
        <w:rPr>
          <w:bCs/>
          <w:color w:val="auto"/>
          <w:sz w:val="22"/>
          <w:szCs w:val="22"/>
        </w:rPr>
      </w:pPr>
      <w:r>
        <w:rPr>
          <w:color w:val="auto"/>
          <w:sz w:val="22"/>
        </w:rPr>
        <w:t>L’expérience de travail subventionnée apporte aux participant·es une source de revenus tout en leur permettant d’acquérir des compétences d’emploi pratiques, de l’expérience de travail et de meilleures perspectives d’employabilité. L’employeur peut recevoir le remboursement du salaire déboursé pour jusqu’à un maximum de 360 heures de travail au salaire minimum local.</w:t>
      </w:r>
    </w:p>
    <w:p w14:paraId="4D986661" w14:textId="77777777" w:rsidR="00C7174D" w:rsidRPr="00617157" w:rsidRDefault="00C7174D" w:rsidP="00C7174D">
      <w:pPr>
        <w:pStyle w:val="ListParagraph"/>
        <w:numPr>
          <w:ilvl w:val="0"/>
          <w:numId w:val="0"/>
        </w:numPr>
        <w:spacing w:before="240" w:after="0"/>
        <w:ind w:left="720"/>
        <w:rPr>
          <w:bCs/>
          <w:color w:val="auto"/>
          <w:sz w:val="24"/>
          <w:szCs w:val="24"/>
          <w:lang w:val="en-CA"/>
        </w:rPr>
      </w:pPr>
    </w:p>
    <w:p w14:paraId="4EE6F3C4" w14:textId="346FDDCE" w:rsidR="00C7174D" w:rsidRDefault="00C7174D" w:rsidP="007A4618">
      <w:pPr>
        <w:pStyle w:val="ListParagraph"/>
        <w:numPr>
          <w:ilvl w:val="0"/>
          <w:numId w:val="8"/>
        </w:numPr>
        <w:spacing w:after="120"/>
        <w:ind w:left="714" w:hanging="357"/>
        <w:contextualSpacing w:val="0"/>
        <w:rPr>
          <w:bCs/>
          <w:color w:val="auto"/>
          <w:sz w:val="24"/>
          <w:szCs w:val="24"/>
        </w:rPr>
      </w:pPr>
      <w:r>
        <w:rPr>
          <w:color w:val="auto"/>
          <w:sz w:val="24"/>
        </w:rPr>
        <w:t>Accès rapide et gratuit à du soutien en santé mentale.</w:t>
      </w:r>
    </w:p>
    <w:p w14:paraId="1A00366C" w14:textId="67296B80" w:rsidR="000A7975" w:rsidRPr="00795E23" w:rsidRDefault="000A7975" w:rsidP="000A7975">
      <w:pPr>
        <w:pStyle w:val="ListParagraph"/>
        <w:numPr>
          <w:ilvl w:val="0"/>
          <w:numId w:val="16"/>
        </w:numPr>
        <w:spacing w:before="240" w:after="0"/>
        <w:ind w:left="1134"/>
        <w:rPr>
          <w:bCs/>
          <w:color w:val="auto"/>
          <w:sz w:val="22"/>
          <w:szCs w:val="22"/>
        </w:rPr>
      </w:pPr>
      <w:r>
        <w:rPr>
          <w:color w:val="auto"/>
          <w:sz w:val="22"/>
        </w:rPr>
        <w:t>Les participant·es ont accès à des vidéos éducatives et autres types de contenu pour explorer des sujets utiles pour soutenir une bonne santé mentale et le bien-être en général.</w:t>
      </w:r>
    </w:p>
    <w:p w14:paraId="5CAB2E7E" w14:textId="7D43D014" w:rsidR="00C35BCA" w:rsidRPr="00795E23" w:rsidRDefault="00C35BCA" w:rsidP="00C73F57">
      <w:pPr>
        <w:pStyle w:val="ListParagraph"/>
        <w:numPr>
          <w:ilvl w:val="0"/>
          <w:numId w:val="16"/>
        </w:numPr>
        <w:spacing w:before="240" w:after="120"/>
        <w:ind w:left="1134" w:hanging="357"/>
        <w:contextualSpacing w:val="0"/>
        <w:rPr>
          <w:bCs/>
          <w:color w:val="auto"/>
          <w:sz w:val="22"/>
          <w:szCs w:val="22"/>
        </w:rPr>
      </w:pPr>
      <w:r>
        <w:rPr>
          <w:color w:val="auto"/>
          <w:sz w:val="22"/>
        </w:rPr>
        <w:t xml:space="preserve">Les participant·es peuvent aussi accéder au </w:t>
      </w:r>
      <w:r>
        <w:rPr>
          <w:i/>
          <w:iCs/>
          <w:color w:val="auto"/>
          <w:sz w:val="22"/>
        </w:rPr>
        <w:t>Programme d’aide membres et famille</w:t>
      </w:r>
      <w:r>
        <w:rPr>
          <w:color w:val="auto"/>
          <w:sz w:val="22"/>
        </w:rPr>
        <w:t xml:space="preserve"> de Homewood Santé pour obtenir du soutien et des services de counseling.</w:t>
      </w:r>
    </w:p>
    <w:p w14:paraId="62FEC8D4" w14:textId="77777777" w:rsidR="00C73F57" w:rsidRPr="00334A9B" w:rsidRDefault="000F76F0" w:rsidP="00C73F57">
      <w:pPr>
        <w:pStyle w:val="ListParagraph"/>
        <w:numPr>
          <w:ilvl w:val="0"/>
          <w:numId w:val="5"/>
        </w:numPr>
        <w:spacing w:after="0"/>
        <w:ind w:left="357" w:hanging="357"/>
        <w:contextualSpacing w:val="0"/>
        <w:rPr>
          <w:b/>
          <w:bCs/>
          <w:color w:val="auto"/>
          <w:sz w:val="24"/>
          <w:szCs w:val="24"/>
        </w:rPr>
      </w:pPr>
      <w:r>
        <w:rPr>
          <w:b/>
          <w:color w:val="auto"/>
          <w:sz w:val="24"/>
        </w:rPr>
        <w:lastRenderedPageBreak/>
        <w:t>STRUCTURE DU PROGRAMME SPECTRE EMPLOI EN LIGNE</w:t>
      </w:r>
    </w:p>
    <w:p w14:paraId="02C6B932" w14:textId="77777777" w:rsidR="00334A9B" w:rsidRPr="00334A9B" w:rsidRDefault="00334A9B" w:rsidP="00334A9B">
      <w:pPr>
        <w:spacing w:before="120" w:after="0"/>
        <w:rPr>
          <w:color w:val="auto"/>
          <w:sz w:val="22"/>
        </w:rPr>
      </w:pPr>
    </w:p>
    <w:tbl>
      <w:tblPr>
        <w:tblStyle w:val="TableGrid"/>
        <w:tblW w:w="10206" w:type="dxa"/>
        <w:tblLook w:val="04A0" w:firstRow="1" w:lastRow="0" w:firstColumn="1" w:lastColumn="0" w:noHBand="0" w:noVBand="1"/>
      </w:tblPr>
      <w:tblGrid>
        <w:gridCol w:w="3402"/>
        <w:gridCol w:w="3402"/>
        <w:gridCol w:w="3402"/>
      </w:tblGrid>
      <w:tr w:rsidR="00334A9B" w:rsidRPr="00334A9B" w14:paraId="6713990F" w14:textId="77777777" w:rsidTr="00334A9B">
        <w:trPr>
          <w:gridAfter w:val="2"/>
          <w:wAfter w:w="6804" w:type="dxa"/>
        </w:trPr>
        <w:tc>
          <w:tcPr>
            <w:tcW w:w="3402" w:type="dxa"/>
            <w:shd w:val="clear" w:color="auto" w:fill="E5DFEC" w:themeFill="accent4" w:themeFillTint="33"/>
            <w:vAlign w:val="center"/>
          </w:tcPr>
          <w:p w14:paraId="4BF091BB" w14:textId="77777777" w:rsidR="00334A9B" w:rsidRPr="00334A9B" w:rsidRDefault="00334A9B" w:rsidP="00334A9B">
            <w:pPr>
              <w:spacing w:before="60" w:after="40"/>
              <w:jc w:val="center"/>
              <w:rPr>
                <w:color w:val="auto"/>
                <w:sz w:val="22"/>
              </w:rPr>
            </w:pPr>
            <w:r w:rsidRPr="00334A9B">
              <w:rPr>
                <w:color w:val="auto"/>
                <w:sz w:val="22"/>
              </w:rPr>
              <w:t>6 MOIS</w:t>
            </w:r>
          </w:p>
        </w:tc>
      </w:tr>
      <w:tr w:rsidR="00334A9B" w:rsidRPr="00334A9B" w14:paraId="7420E422" w14:textId="77777777" w:rsidTr="00334A9B">
        <w:tc>
          <w:tcPr>
            <w:tcW w:w="10206" w:type="dxa"/>
            <w:gridSpan w:val="3"/>
            <w:shd w:val="clear" w:color="auto" w:fill="EEECE1" w:themeFill="background2"/>
            <w:vAlign w:val="center"/>
          </w:tcPr>
          <w:p w14:paraId="3E69990A" w14:textId="77777777" w:rsidR="00334A9B" w:rsidRPr="00334A9B" w:rsidRDefault="00334A9B" w:rsidP="00334A9B">
            <w:pPr>
              <w:spacing w:before="60" w:after="40"/>
              <w:jc w:val="center"/>
              <w:rPr>
                <w:color w:val="auto"/>
                <w:sz w:val="22"/>
              </w:rPr>
            </w:pPr>
            <w:r w:rsidRPr="00334A9B">
              <w:rPr>
                <w:color w:val="auto"/>
                <w:sz w:val="22"/>
              </w:rPr>
              <w:t>0-12 MOIS</w:t>
            </w:r>
          </w:p>
        </w:tc>
      </w:tr>
      <w:tr w:rsidR="0048491F" w:rsidRPr="0048491F" w14:paraId="594E86F1" w14:textId="30F66410" w:rsidTr="00334A9B">
        <w:tc>
          <w:tcPr>
            <w:tcW w:w="3402" w:type="dxa"/>
            <w:shd w:val="clear" w:color="auto" w:fill="CCC0D9" w:themeFill="accent4" w:themeFillTint="66"/>
            <w:vAlign w:val="center"/>
          </w:tcPr>
          <w:p w14:paraId="3C425F4B" w14:textId="5F82D776" w:rsidR="0048491F" w:rsidRPr="0048491F" w:rsidRDefault="0048491F" w:rsidP="00334A9B">
            <w:pPr>
              <w:spacing w:beforeLines="60" w:before="144" w:afterLines="40" w:after="96"/>
              <w:jc w:val="center"/>
              <w:rPr>
                <w:color w:val="auto"/>
                <w:sz w:val="22"/>
              </w:rPr>
            </w:pPr>
            <w:r w:rsidRPr="0048491F">
              <w:rPr>
                <w:color w:val="auto"/>
                <w:sz w:val="22"/>
              </w:rPr>
              <w:t xml:space="preserve">SE PRÉPARER </w:t>
            </w:r>
            <w:r w:rsidR="00F721FA">
              <w:rPr>
                <w:color w:val="auto"/>
                <w:sz w:val="22"/>
              </w:rPr>
              <w:t>À L’EMPLOI</w:t>
            </w:r>
          </w:p>
        </w:tc>
        <w:tc>
          <w:tcPr>
            <w:tcW w:w="3402" w:type="dxa"/>
            <w:shd w:val="clear" w:color="auto" w:fill="C2D69B" w:themeFill="accent3" w:themeFillTint="99"/>
            <w:vAlign w:val="center"/>
          </w:tcPr>
          <w:p w14:paraId="743107BF" w14:textId="496A294D" w:rsidR="0048491F" w:rsidRPr="0048491F" w:rsidRDefault="0048491F" w:rsidP="00334A9B">
            <w:pPr>
              <w:widowControl/>
              <w:autoSpaceDE/>
              <w:autoSpaceDN/>
              <w:adjustRightInd/>
              <w:spacing w:beforeLines="60" w:before="144" w:afterLines="40" w:after="96"/>
              <w:jc w:val="center"/>
              <w:rPr>
                <w:color w:val="auto"/>
                <w:sz w:val="22"/>
              </w:rPr>
            </w:pPr>
            <w:r w:rsidRPr="00D55F0F">
              <w:rPr>
                <w:color w:val="auto"/>
                <w:sz w:val="22"/>
              </w:rPr>
              <w:t xml:space="preserve">OBTENIR </w:t>
            </w:r>
            <w:r w:rsidR="005D6D98">
              <w:rPr>
                <w:color w:val="auto"/>
                <w:sz w:val="22"/>
              </w:rPr>
              <w:t>UN EMPLOI</w:t>
            </w:r>
          </w:p>
        </w:tc>
        <w:tc>
          <w:tcPr>
            <w:tcW w:w="3402" w:type="dxa"/>
            <w:shd w:val="clear" w:color="auto" w:fill="FABF8F" w:themeFill="accent6" w:themeFillTint="99"/>
            <w:vAlign w:val="center"/>
          </w:tcPr>
          <w:p w14:paraId="776994D9" w14:textId="20919EBA" w:rsidR="0048491F" w:rsidRPr="0048491F" w:rsidRDefault="0048491F" w:rsidP="00334A9B">
            <w:pPr>
              <w:widowControl/>
              <w:autoSpaceDE/>
              <w:autoSpaceDN/>
              <w:adjustRightInd/>
              <w:spacing w:beforeLines="60" w:before="144" w:afterLines="40" w:after="96"/>
              <w:jc w:val="center"/>
              <w:rPr>
                <w:color w:val="auto"/>
                <w:sz w:val="22"/>
              </w:rPr>
            </w:pPr>
            <w:r w:rsidRPr="0021741D">
              <w:rPr>
                <w:color w:val="auto"/>
                <w:sz w:val="22"/>
              </w:rPr>
              <w:t xml:space="preserve">CONSERVER </w:t>
            </w:r>
            <w:r w:rsidR="005D6D98">
              <w:rPr>
                <w:color w:val="auto"/>
                <w:sz w:val="22"/>
              </w:rPr>
              <w:t>U</w:t>
            </w:r>
            <w:r w:rsidRPr="0021741D">
              <w:rPr>
                <w:color w:val="auto"/>
                <w:sz w:val="22"/>
              </w:rPr>
              <w:t>N EMPLOI</w:t>
            </w:r>
          </w:p>
        </w:tc>
      </w:tr>
      <w:tr w:rsidR="0048491F" w:rsidRPr="0048491F" w14:paraId="516FA726" w14:textId="5ABB6465" w:rsidTr="00334A9B">
        <w:tc>
          <w:tcPr>
            <w:tcW w:w="3402" w:type="dxa"/>
            <w:shd w:val="clear" w:color="auto" w:fill="E5DFEC" w:themeFill="accent4" w:themeFillTint="33"/>
            <w:vAlign w:val="center"/>
          </w:tcPr>
          <w:p w14:paraId="349BA0AC" w14:textId="77777777" w:rsidR="0048491F" w:rsidRPr="0048491F" w:rsidRDefault="0048491F" w:rsidP="00334A9B">
            <w:pPr>
              <w:spacing w:before="40" w:after="20"/>
              <w:rPr>
                <w:color w:val="auto"/>
                <w:sz w:val="22"/>
              </w:rPr>
            </w:pPr>
            <w:r w:rsidRPr="0048491F">
              <w:rPr>
                <w:color w:val="auto"/>
                <w:sz w:val="22"/>
              </w:rPr>
              <w:t>Plan individualisé</w:t>
            </w:r>
          </w:p>
        </w:tc>
        <w:tc>
          <w:tcPr>
            <w:tcW w:w="3402" w:type="dxa"/>
            <w:shd w:val="clear" w:color="auto" w:fill="D6E3BC" w:themeFill="accent3" w:themeFillTint="66"/>
            <w:vAlign w:val="center"/>
          </w:tcPr>
          <w:p w14:paraId="59FED903" w14:textId="42A525CE" w:rsidR="0048491F" w:rsidRPr="0048491F" w:rsidRDefault="0048491F" w:rsidP="00334A9B">
            <w:pPr>
              <w:widowControl/>
              <w:autoSpaceDE/>
              <w:autoSpaceDN/>
              <w:adjustRightInd/>
              <w:spacing w:before="40" w:after="20"/>
              <w:rPr>
                <w:color w:val="auto"/>
                <w:sz w:val="22"/>
              </w:rPr>
            </w:pPr>
            <w:r w:rsidRPr="00D55F0F">
              <w:rPr>
                <w:color w:val="auto"/>
                <w:sz w:val="22"/>
              </w:rPr>
              <w:t>Recherche d’emploi</w:t>
            </w:r>
          </w:p>
        </w:tc>
        <w:tc>
          <w:tcPr>
            <w:tcW w:w="3402" w:type="dxa"/>
            <w:shd w:val="clear" w:color="auto" w:fill="FDE9D9" w:themeFill="accent6" w:themeFillTint="33"/>
            <w:vAlign w:val="center"/>
          </w:tcPr>
          <w:p w14:paraId="620758D9" w14:textId="35F615E4" w:rsidR="0048491F" w:rsidRPr="0048491F" w:rsidRDefault="0048491F" w:rsidP="00334A9B">
            <w:pPr>
              <w:widowControl/>
              <w:autoSpaceDE/>
              <w:autoSpaceDN/>
              <w:adjustRightInd/>
              <w:spacing w:before="40" w:after="20"/>
              <w:rPr>
                <w:color w:val="auto"/>
                <w:sz w:val="22"/>
              </w:rPr>
            </w:pPr>
            <w:r w:rsidRPr="0021741D">
              <w:rPr>
                <w:color w:val="auto"/>
                <w:sz w:val="22"/>
              </w:rPr>
              <w:t>Soutien en emploi</w:t>
            </w:r>
          </w:p>
        </w:tc>
      </w:tr>
      <w:tr w:rsidR="0048491F" w:rsidRPr="0048491F" w14:paraId="2811D9C8" w14:textId="42071985" w:rsidTr="00334A9B">
        <w:tc>
          <w:tcPr>
            <w:tcW w:w="3402" w:type="dxa"/>
            <w:shd w:val="clear" w:color="auto" w:fill="E5DFEC" w:themeFill="accent4" w:themeFillTint="33"/>
            <w:vAlign w:val="center"/>
          </w:tcPr>
          <w:p w14:paraId="436C2D47" w14:textId="77777777" w:rsidR="0048491F" w:rsidRPr="0048491F" w:rsidRDefault="0048491F" w:rsidP="00334A9B">
            <w:pPr>
              <w:spacing w:before="40" w:after="20"/>
              <w:rPr>
                <w:color w:val="auto"/>
                <w:sz w:val="22"/>
              </w:rPr>
            </w:pPr>
            <w:r w:rsidRPr="0048491F">
              <w:rPr>
                <w:color w:val="auto"/>
                <w:sz w:val="22"/>
              </w:rPr>
              <w:t>Modules en ligne</w:t>
            </w:r>
          </w:p>
        </w:tc>
        <w:tc>
          <w:tcPr>
            <w:tcW w:w="3402" w:type="dxa"/>
            <w:shd w:val="clear" w:color="auto" w:fill="D6E3BC" w:themeFill="accent3" w:themeFillTint="66"/>
            <w:vAlign w:val="center"/>
          </w:tcPr>
          <w:p w14:paraId="6264AC94" w14:textId="5084D857" w:rsidR="0048491F" w:rsidRPr="0048491F" w:rsidRDefault="0048491F" w:rsidP="00334A9B">
            <w:pPr>
              <w:widowControl/>
              <w:autoSpaceDE/>
              <w:autoSpaceDN/>
              <w:adjustRightInd/>
              <w:spacing w:before="40" w:after="20"/>
              <w:rPr>
                <w:color w:val="auto"/>
                <w:sz w:val="22"/>
              </w:rPr>
            </w:pPr>
            <w:r w:rsidRPr="00D55F0F">
              <w:rPr>
                <w:color w:val="auto"/>
                <w:sz w:val="22"/>
              </w:rPr>
              <w:t>Encadrement</w:t>
            </w:r>
          </w:p>
        </w:tc>
        <w:tc>
          <w:tcPr>
            <w:tcW w:w="3402" w:type="dxa"/>
            <w:shd w:val="clear" w:color="auto" w:fill="FDE9D9" w:themeFill="accent6" w:themeFillTint="33"/>
            <w:vAlign w:val="center"/>
          </w:tcPr>
          <w:p w14:paraId="256AD4C4" w14:textId="3CB2A9A4" w:rsidR="0048491F" w:rsidRPr="0048491F" w:rsidRDefault="0048491F" w:rsidP="00334A9B">
            <w:pPr>
              <w:widowControl/>
              <w:autoSpaceDE/>
              <w:autoSpaceDN/>
              <w:adjustRightInd/>
              <w:spacing w:before="40" w:after="20"/>
              <w:rPr>
                <w:color w:val="auto"/>
                <w:sz w:val="22"/>
              </w:rPr>
            </w:pPr>
          </w:p>
        </w:tc>
      </w:tr>
      <w:tr w:rsidR="0048491F" w:rsidRPr="0048491F" w14:paraId="5BB70B7A" w14:textId="260C6587" w:rsidTr="00334A9B">
        <w:tc>
          <w:tcPr>
            <w:tcW w:w="3402" w:type="dxa"/>
            <w:shd w:val="clear" w:color="auto" w:fill="E5DFEC" w:themeFill="accent4" w:themeFillTint="33"/>
            <w:vAlign w:val="center"/>
          </w:tcPr>
          <w:p w14:paraId="4FDC9117" w14:textId="77777777" w:rsidR="0048491F" w:rsidRPr="0048491F" w:rsidRDefault="0048491F" w:rsidP="00334A9B">
            <w:pPr>
              <w:spacing w:before="40" w:after="20"/>
              <w:rPr>
                <w:color w:val="auto"/>
                <w:sz w:val="22"/>
              </w:rPr>
            </w:pPr>
            <w:r w:rsidRPr="0048491F">
              <w:rPr>
                <w:color w:val="auto"/>
                <w:sz w:val="22"/>
              </w:rPr>
              <w:t>Encadrement et formation pré-emploi</w:t>
            </w:r>
          </w:p>
        </w:tc>
        <w:tc>
          <w:tcPr>
            <w:tcW w:w="3402" w:type="dxa"/>
            <w:shd w:val="clear" w:color="auto" w:fill="D6E3BC" w:themeFill="accent3" w:themeFillTint="66"/>
            <w:vAlign w:val="center"/>
          </w:tcPr>
          <w:p w14:paraId="082EA0C4" w14:textId="409DC355" w:rsidR="0048491F" w:rsidRPr="0048491F" w:rsidRDefault="0048491F" w:rsidP="00334A9B">
            <w:pPr>
              <w:widowControl/>
              <w:autoSpaceDE/>
              <w:autoSpaceDN/>
              <w:adjustRightInd/>
              <w:spacing w:before="40" w:after="20"/>
              <w:rPr>
                <w:color w:val="auto"/>
                <w:sz w:val="22"/>
              </w:rPr>
            </w:pPr>
            <w:r w:rsidRPr="00D55F0F">
              <w:rPr>
                <w:color w:val="auto"/>
                <w:sz w:val="22"/>
              </w:rPr>
              <w:t>Occasions d’expérience d’emploi subventionnée</w:t>
            </w:r>
          </w:p>
        </w:tc>
        <w:tc>
          <w:tcPr>
            <w:tcW w:w="3402" w:type="dxa"/>
            <w:shd w:val="clear" w:color="auto" w:fill="FDE9D9" w:themeFill="accent6" w:themeFillTint="33"/>
            <w:vAlign w:val="center"/>
          </w:tcPr>
          <w:p w14:paraId="449FB6AC" w14:textId="2D22BBF1" w:rsidR="0048491F" w:rsidRPr="0048491F" w:rsidRDefault="0048491F" w:rsidP="00334A9B">
            <w:pPr>
              <w:widowControl/>
              <w:autoSpaceDE/>
              <w:autoSpaceDN/>
              <w:adjustRightInd/>
              <w:spacing w:before="40" w:after="20"/>
              <w:rPr>
                <w:color w:val="auto"/>
                <w:sz w:val="22"/>
              </w:rPr>
            </w:pPr>
          </w:p>
        </w:tc>
      </w:tr>
      <w:tr w:rsidR="0048491F" w:rsidRPr="0048491F" w14:paraId="6FE30C73" w14:textId="4826CD84" w:rsidTr="00334A9B">
        <w:tc>
          <w:tcPr>
            <w:tcW w:w="3402" w:type="dxa"/>
            <w:shd w:val="clear" w:color="auto" w:fill="E5DFEC" w:themeFill="accent4" w:themeFillTint="33"/>
            <w:vAlign w:val="center"/>
          </w:tcPr>
          <w:p w14:paraId="18402548" w14:textId="77777777" w:rsidR="0048491F" w:rsidRPr="0048491F" w:rsidRDefault="0048491F" w:rsidP="00334A9B">
            <w:pPr>
              <w:spacing w:before="40" w:after="20"/>
              <w:rPr>
                <w:color w:val="auto"/>
                <w:sz w:val="22"/>
              </w:rPr>
            </w:pPr>
            <w:r w:rsidRPr="0048491F">
              <w:rPr>
                <w:color w:val="auto"/>
                <w:sz w:val="22"/>
              </w:rPr>
              <w:t>Simulations d’emplois</w:t>
            </w:r>
          </w:p>
        </w:tc>
        <w:tc>
          <w:tcPr>
            <w:tcW w:w="3402" w:type="dxa"/>
            <w:shd w:val="clear" w:color="auto" w:fill="D6E3BC" w:themeFill="accent3" w:themeFillTint="66"/>
            <w:vAlign w:val="center"/>
          </w:tcPr>
          <w:p w14:paraId="7FAE2172" w14:textId="7F5B7D86" w:rsidR="0048491F" w:rsidRPr="0048491F" w:rsidRDefault="0048491F" w:rsidP="00334A9B">
            <w:pPr>
              <w:widowControl/>
              <w:autoSpaceDE/>
              <w:autoSpaceDN/>
              <w:adjustRightInd/>
              <w:spacing w:before="40" w:after="20"/>
              <w:rPr>
                <w:color w:val="auto"/>
                <w:sz w:val="22"/>
              </w:rPr>
            </w:pPr>
          </w:p>
        </w:tc>
        <w:tc>
          <w:tcPr>
            <w:tcW w:w="3402" w:type="dxa"/>
            <w:shd w:val="clear" w:color="auto" w:fill="FDE9D9" w:themeFill="accent6" w:themeFillTint="33"/>
            <w:vAlign w:val="center"/>
          </w:tcPr>
          <w:p w14:paraId="13A70FDB" w14:textId="2890CB58" w:rsidR="0048491F" w:rsidRPr="0048491F" w:rsidRDefault="0048491F" w:rsidP="00334A9B">
            <w:pPr>
              <w:widowControl/>
              <w:autoSpaceDE/>
              <w:autoSpaceDN/>
              <w:adjustRightInd/>
              <w:spacing w:before="40" w:after="20"/>
              <w:rPr>
                <w:color w:val="auto"/>
                <w:sz w:val="22"/>
              </w:rPr>
            </w:pPr>
          </w:p>
        </w:tc>
      </w:tr>
      <w:tr w:rsidR="0048491F" w14:paraId="5F86248D" w14:textId="331D113A" w:rsidTr="00334A9B">
        <w:tc>
          <w:tcPr>
            <w:tcW w:w="3402" w:type="dxa"/>
            <w:shd w:val="clear" w:color="auto" w:fill="E5DFEC" w:themeFill="accent4" w:themeFillTint="33"/>
            <w:vAlign w:val="center"/>
          </w:tcPr>
          <w:p w14:paraId="74619B0D" w14:textId="77777777" w:rsidR="0048491F" w:rsidRDefault="0048491F" w:rsidP="00334A9B">
            <w:pPr>
              <w:spacing w:before="40" w:after="20"/>
              <w:rPr>
                <w:color w:val="auto"/>
                <w:sz w:val="22"/>
              </w:rPr>
            </w:pPr>
            <w:r w:rsidRPr="0048491F">
              <w:rPr>
                <w:color w:val="auto"/>
                <w:sz w:val="22"/>
              </w:rPr>
              <w:t>Mentorat</w:t>
            </w:r>
          </w:p>
        </w:tc>
        <w:tc>
          <w:tcPr>
            <w:tcW w:w="3402" w:type="dxa"/>
            <w:shd w:val="clear" w:color="auto" w:fill="D6E3BC" w:themeFill="accent3" w:themeFillTint="66"/>
            <w:vAlign w:val="center"/>
          </w:tcPr>
          <w:p w14:paraId="0196585E" w14:textId="73EB823A" w:rsidR="0048491F" w:rsidRDefault="0048491F" w:rsidP="00334A9B">
            <w:pPr>
              <w:widowControl/>
              <w:autoSpaceDE/>
              <w:autoSpaceDN/>
              <w:adjustRightInd/>
              <w:spacing w:before="40" w:after="20"/>
              <w:rPr>
                <w:color w:val="auto"/>
                <w:sz w:val="22"/>
              </w:rPr>
            </w:pPr>
          </w:p>
        </w:tc>
        <w:tc>
          <w:tcPr>
            <w:tcW w:w="3402" w:type="dxa"/>
            <w:shd w:val="clear" w:color="auto" w:fill="FDE9D9" w:themeFill="accent6" w:themeFillTint="33"/>
            <w:vAlign w:val="center"/>
          </w:tcPr>
          <w:p w14:paraId="7D2A9BF5" w14:textId="55D5AAB0" w:rsidR="0048491F" w:rsidRDefault="0048491F" w:rsidP="00334A9B">
            <w:pPr>
              <w:widowControl/>
              <w:autoSpaceDE/>
              <w:autoSpaceDN/>
              <w:adjustRightInd/>
              <w:spacing w:before="40" w:after="20"/>
              <w:rPr>
                <w:color w:val="auto"/>
                <w:sz w:val="22"/>
              </w:rPr>
            </w:pPr>
          </w:p>
        </w:tc>
      </w:tr>
    </w:tbl>
    <w:p w14:paraId="5920EB7C" w14:textId="39B364B0" w:rsidR="000F76F0" w:rsidRPr="00FD1612" w:rsidRDefault="00742DD8" w:rsidP="00C73F57">
      <w:pPr>
        <w:spacing w:before="120" w:after="0"/>
        <w:rPr>
          <w:bCs/>
          <w:color w:val="auto"/>
          <w:sz w:val="22"/>
          <w:szCs w:val="22"/>
        </w:rPr>
      </w:pPr>
      <w:r>
        <w:rPr>
          <w:color w:val="auto"/>
          <w:sz w:val="22"/>
        </w:rPr>
        <w:t xml:space="preserve">Les participant·es peuvent accéder aux services et aux mesures de soutien pendant 12 mois à partir de la date d’inscription au programme. La structure du programme Spectre emploi est conçue pour soutenir les personnes en recherche d’emploi afin de les préparer à rechercher activement un emploi six mois après le début du programme. Une participation active au marché du travail est attendue de la part de chaque participant·e au cours du programme, l’objectif visé étant l’obtention d’un emploi et l’accumulation d’expérience de travail. </w:t>
      </w:r>
    </w:p>
    <w:p w14:paraId="328514F9" w14:textId="77777777" w:rsidR="00C35BCA" w:rsidRDefault="00C35BCA" w:rsidP="00C73F57">
      <w:pPr>
        <w:widowControl/>
        <w:autoSpaceDE/>
        <w:autoSpaceDN/>
        <w:adjustRightInd/>
        <w:spacing w:after="0"/>
        <w:rPr>
          <w:b/>
          <w:bCs/>
          <w:color w:val="auto"/>
          <w:sz w:val="24"/>
          <w:szCs w:val="24"/>
          <w:lang w:val="en-CA"/>
        </w:rPr>
      </w:pPr>
    </w:p>
    <w:p w14:paraId="6D5B2105" w14:textId="11655BA2" w:rsidR="00EB7B6B" w:rsidRPr="006F0CB7" w:rsidRDefault="00192C84" w:rsidP="006F0CB7">
      <w:pPr>
        <w:pStyle w:val="ListParagraph"/>
        <w:numPr>
          <w:ilvl w:val="0"/>
          <w:numId w:val="5"/>
        </w:numPr>
        <w:spacing w:after="120"/>
        <w:ind w:left="357" w:hanging="357"/>
        <w:contextualSpacing w:val="0"/>
        <w:rPr>
          <w:b/>
          <w:bCs/>
          <w:color w:val="auto"/>
          <w:sz w:val="24"/>
          <w:szCs w:val="24"/>
        </w:rPr>
      </w:pPr>
      <w:r>
        <w:rPr>
          <w:b/>
          <w:color w:val="auto"/>
          <w:sz w:val="24"/>
        </w:rPr>
        <w:t xml:space="preserve">PORTÉE DES OCCASIONS DE COLLABORATION ET PRODUITS LIVRABLES </w:t>
      </w:r>
    </w:p>
    <w:p w14:paraId="7B6176AF" w14:textId="55706D9D" w:rsidR="00617157" w:rsidRDefault="00560C67" w:rsidP="00002AC2">
      <w:pPr>
        <w:spacing w:after="120"/>
        <w:rPr>
          <w:color w:val="auto"/>
          <w:sz w:val="22"/>
          <w:szCs w:val="22"/>
        </w:rPr>
      </w:pPr>
      <w:r>
        <w:rPr>
          <w:color w:val="auto"/>
          <w:sz w:val="22"/>
        </w:rPr>
        <w:t>Les prestataires de services soutenant des personnes en recherche d’emploi active qui souhaitent travailler en proche collaboration avec Sinneave dans le cadre du projet Spectre emploi auront les responsabilités suivantes :</w:t>
      </w:r>
    </w:p>
    <w:p w14:paraId="451EF000" w14:textId="4CD88A36" w:rsidR="00476A42" w:rsidRDefault="00617157" w:rsidP="00002AC2">
      <w:pPr>
        <w:pStyle w:val="ListParagraph"/>
        <w:numPr>
          <w:ilvl w:val="0"/>
          <w:numId w:val="4"/>
        </w:numPr>
        <w:spacing w:after="0"/>
        <w:ind w:left="714" w:hanging="357"/>
        <w:contextualSpacing w:val="0"/>
        <w:rPr>
          <w:color w:val="auto"/>
          <w:sz w:val="22"/>
          <w:szCs w:val="22"/>
        </w:rPr>
      </w:pPr>
      <w:r>
        <w:rPr>
          <w:color w:val="auto"/>
          <w:sz w:val="22"/>
        </w:rPr>
        <w:t xml:space="preserve">Faciliter l’inscription des participant·es au programme </w:t>
      </w:r>
      <w:r w:rsidR="00FD56EB">
        <w:rPr>
          <w:color w:val="auto"/>
          <w:sz w:val="22"/>
        </w:rPr>
        <w:t>Spectre emploi</w:t>
      </w:r>
      <w:r>
        <w:rPr>
          <w:color w:val="auto"/>
          <w:sz w:val="22"/>
        </w:rPr>
        <w:t xml:space="preserve"> en ligne en respectant les exigences du gouvernement du Canada.</w:t>
      </w:r>
    </w:p>
    <w:p w14:paraId="76ABE66C" w14:textId="742967E6" w:rsidR="00617157" w:rsidRDefault="0083505E" w:rsidP="00002AC2">
      <w:pPr>
        <w:pStyle w:val="ListParagraph"/>
        <w:numPr>
          <w:ilvl w:val="1"/>
          <w:numId w:val="4"/>
        </w:numPr>
        <w:spacing w:after="120"/>
        <w:contextualSpacing w:val="0"/>
        <w:rPr>
          <w:color w:val="auto"/>
          <w:sz w:val="22"/>
          <w:szCs w:val="22"/>
        </w:rPr>
      </w:pPr>
      <w:r>
        <w:rPr>
          <w:color w:val="auto"/>
          <w:sz w:val="22"/>
        </w:rPr>
        <w:t>Les personnes admissibles s’identifient comme étant des personnes autistes, neurodivergentes ou en situation de handicap, expriment de la motivation à se trouver un emploi dans l’année qui suit et sont en droit de travailler au Canada selon la loi.</w:t>
      </w:r>
    </w:p>
    <w:p w14:paraId="51A0A28A" w14:textId="409FAB28" w:rsidR="002A7E23" w:rsidRDefault="00617157" w:rsidP="00C74E4D">
      <w:pPr>
        <w:pStyle w:val="ListParagraph"/>
        <w:numPr>
          <w:ilvl w:val="0"/>
          <w:numId w:val="4"/>
        </w:numPr>
        <w:spacing w:after="0"/>
        <w:rPr>
          <w:color w:val="auto"/>
          <w:sz w:val="22"/>
          <w:szCs w:val="22"/>
        </w:rPr>
      </w:pPr>
      <w:r>
        <w:rPr>
          <w:color w:val="auto"/>
          <w:sz w:val="22"/>
        </w:rPr>
        <w:t xml:space="preserve">Faciliter l’accès des participant·es aux ressources en ligne et au contenu pertinent de Spectre emploi. </w:t>
      </w:r>
    </w:p>
    <w:p w14:paraId="6A26FEAB" w14:textId="584A0237" w:rsidR="006F4EE3" w:rsidRDefault="00346D26" w:rsidP="00002AC2">
      <w:pPr>
        <w:pStyle w:val="ListParagraph"/>
        <w:numPr>
          <w:ilvl w:val="1"/>
          <w:numId w:val="4"/>
        </w:numPr>
        <w:spacing w:after="120"/>
        <w:ind w:left="1434" w:hanging="357"/>
        <w:contextualSpacing w:val="0"/>
        <w:rPr>
          <w:color w:val="auto"/>
          <w:sz w:val="22"/>
          <w:szCs w:val="22"/>
        </w:rPr>
      </w:pPr>
      <w:r>
        <w:rPr>
          <w:color w:val="auto"/>
          <w:sz w:val="22"/>
        </w:rPr>
        <w:t>L</w:t>
      </w:r>
      <w:r w:rsidR="0083505E">
        <w:rPr>
          <w:color w:val="auto"/>
          <w:sz w:val="22"/>
        </w:rPr>
        <w:t xml:space="preserve">ire et se familiariser avec le contenu et les ressources à disposition pour guider les participant·es et leur conseiller les ressources pertinentes </w:t>
      </w:r>
      <w:r>
        <w:rPr>
          <w:color w:val="auto"/>
          <w:sz w:val="22"/>
        </w:rPr>
        <w:t>selon</w:t>
      </w:r>
      <w:r w:rsidR="0083505E">
        <w:rPr>
          <w:color w:val="auto"/>
          <w:sz w:val="22"/>
        </w:rPr>
        <w:t xml:space="preserve"> leurs besoins individuels.</w:t>
      </w:r>
    </w:p>
    <w:p w14:paraId="3D719A00" w14:textId="13D04113" w:rsidR="002A7E23" w:rsidRDefault="00560C67" w:rsidP="00C74E4D">
      <w:pPr>
        <w:pStyle w:val="ListParagraph"/>
        <w:numPr>
          <w:ilvl w:val="0"/>
          <w:numId w:val="4"/>
        </w:numPr>
        <w:spacing w:after="0"/>
        <w:rPr>
          <w:color w:val="auto"/>
          <w:sz w:val="22"/>
          <w:szCs w:val="22"/>
        </w:rPr>
      </w:pPr>
      <w:r>
        <w:rPr>
          <w:color w:val="auto"/>
          <w:sz w:val="22"/>
        </w:rPr>
        <w:t>Aider les participant·es à préparer un Plan d’action individualisé pour l’emploi (PAIE).</w:t>
      </w:r>
    </w:p>
    <w:p w14:paraId="5CCCBE72" w14:textId="3BF5D1A7" w:rsidR="00560C67" w:rsidRDefault="00560C67" w:rsidP="00560C67">
      <w:pPr>
        <w:pStyle w:val="ListParagraph"/>
        <w:numPr>
          <w:ilvl w:val="1"/>
          <w:numId w:val="4"/>
        </w:numPr>
        <w:spacing w:after="0"/>
        <w:rPr>
          <w:color w:val="auto"/>
          <w:sz w:val="22"/>
          <w:szCs w:val="22"/>
        </w:rPr>
      </w:pPr>
      <w:r>
        <w:rPr>
          <w:color w:val="auto"/>
          <w:sz w:val="22"/>
        </w:rPr>
        <w:t xml:space="preserve">L’objectif du PAIE est de développer une structure et des étapes pratiques pour s’orienter le long du parcours de préparation au travail et atteindre ses objectifs d’emploi. </w:t>
      </w:r>
    </w:p>
    <w:p w14:paraId="3912CA59" w14:textId="5274C04C" w:rsidR="00560C67" w:rsidRDefault="00560C67" w:rsidP="00C74E4D">
      <w:pPr>
        <w:pStyle w:val="ListParagraph"/>
        <w:numPr>
          <w:ilvl w:val="1"/>
          <w:numId w:val="4"/>
        </w:numPr>
        <w:spacing w:after="0"/>
        <w:rPr>
          <w:color w:val="auto"/>
          <w:sz w:val="22"/>
          <w:szCs w:val="22"/>
        </w:rPr>
      </w:pPr>
      <w:r>
        <w:rPr>
          <w:color w:val="auto"/>
          <w:sz w:val="22"/>
        </w:rPr>
        <w:t>Un modèle PAIE est joint à ce document (Annexe A).</w:t>
      </w:r>
    </w:p>
    <w:p w14:paraId="64020C22" w14:textId="10A679E0" w:rsidR="00DF25FF" w:rsidRDefault="00DF25FF" w:rsidP="00002AC2">
      <w:pPr>
        <w:pStyle w:val="ListParagraph"/>
        <w:numPr>
          <w:ilvl w:val="1"/>
          <w:numId w:val="4"/>
        </w:numPr>
        <w:spacing w:after="120"/>
        <w:ind w:left="1434" w:hanging="357"/>
        <w:contextualSpacing w:val="0"/>
        <w:rPr>
          <w:color w:val="auto"/>
          <w:sz w:val="22"/>
          <w:szCs w:val="22"/>
        </w:rPr>
      </w:pPr>
      <w:r>
        <w:rPr>
          <w:color w:val="auto"/>
          <w:sz w:val="22"/>
        </w:rPr>
        <w:t xml:space="preserve">Veuillez noter que les participant·es sont admissibles à une prime de 250 $ lorsque le PAIE est complété. </w:t>
      </w:r>
    </w:p>
    <w:p w14:paraId="7EE7EA9C" w14:textId="4F4F0475" w:rsidR="002A7E23" w:rsidRDefault="00560C67" w:rsidP="00C74E4D">
      <w:pPr>
        <w:pStyle w:val="ListParagraph"/>
        <w:numPr>
          <w:ilvl w:val="0"/>
          <w:numId w:val="4"/>
        </w:numPr>
        <w:spacing w:after="0"/>
        <w:rPr>
          <w:color w:val="auto"/>
          <w:sz w:val="22"/>
          <w:szCs w:val="22"/>
        </w:rPr>
      </w:pPr>
      <w:r>
        <w:rPr>
          <w:color w:val="auto"/>
          <w:sz w:val="22"/>
        </w:rPr>
        <w:t>Faciliter l’accès des participant·es aux mesure</w:t>
      </w:r>
      <w:r w:rsidR="00346D26">
        <w:rPr>
          <w:color w:val="auto"/>
          <w:sz w:val="22"/>
        </w:rPr>
        <w:t>s</w:t>
      </w:r>
      <w:r>
        <w:rPr>
          <w:color w:val="auto"/>
          <w:sz w:val="22"/>
        </w:rPr>
        <w:t xml:space="preserve"> de soutien à l’emploi disponibles.</w:t>
      </w:r>
    </w:p>
    <w:p w14:paraId="278DE2AE" w14:textId="31AD9BDC" w:rsidR="0019089D" w:rsidRDefault="00560C67" w:rsidP="00002AC2">
      <w:pPr>
        <w:pStyle w:val="ListParagraph"/>
        <w:numPr>
          <w:ilvl w:val="1"/>
          <w:numId w:val="4"/>
        </w:numPr>
        <w:spacing w:after="120"/>
        <w:ind w:left="1434" w:hanging="357"/>
        <w:contextualSpacing w:val="0"/>
        <w:rPr>
          <w:color w:val="auto"/>
          <w:sz w:val="22"/>
          <w:szCs w:val="22"/>
        </w:rPr>
      </w:pPr>
      <w:r>
        <w:rPr>
          <w:color w:val="auto"/>
          <w:sz w:val="22"/>
        </w:rPr>
        <w:t xml:space="preserve">Aider les participant·es à définir leurs besoins de mesures de soutien à l’emploi, telles que l’encadrement, les outils ou l’équipement au travail, et à </w:t>
      </w:r>
      <w:r w:rsidR="00562889" w:rsidRPr="00562889">
        <w:rPr>
          <w:color w:val="auto"/>
          <w:sz w:val="22"/>
        </w:rPr>
        <w:t xml:space="preserve">envoyer </w:t>
      </w:r>
      <w:r>
        <w:rPr>
          <w:color w:val="auto"/>
          <w:sz w:val="22"/>
        </w:rPr>
        <w:t>des formulaires de demande au personnel du projet national Spectre emploi par des processus préétablis après avoir terminé le PAIE.</w:t>
      </w:r>
    </w:p>
    <w:p w14:paraId="42D5C9E0" w14:textId="7EECAF77" w:rsidR="002A7E23" w:rsidRDefault="0019089D" w:rsidP="0019089D">
      <w:pPr>
        <w:pStyle w:val="ListParagraph"/>
        <w:numPr>
          <w:ilvl w:val="0"/>
          <w:numId w:val="4"/>
        </w:numPr>
        <w:spacing w:after="0"/>
        <w:rPr>
          <w:color w:val="auto"/>
          <w:sz w:val="22"/>
          <w:szCs w:val="22"/>
        </w:rPr>
      </w:pPr>
      <w:r>
        <w:rPr>
          <w:color w:val="auto"/>
          <w:sz w:val="22"/>
        </w:rPr>
        <w:lastRenderedPageBreak/>
        <w:t>Faciliter l’accès des participant·es aux occasions d’expérience de travail subventionnée avec les employeurs.</w:t>
      </w:r>
    </w:p>
    <w:p w14:paraId="552FDBC3" w14:textId="4771343E" w:rsidR="008B421A" w:rsidRDefault="0019089D" w:rsidP="006F0CB7">
      <w:pPr>
        <w:pStyle w:val="ListParagraph"/>
        <w:numPr>
          <w:ilvl w:val="1"/>
          <w:numId w:val="4"/>
        </w:numPr>
        <w:spacing w:after="120"/>
        <w:ind w:left="1434" w:hanging="357"/>
        <w:contextualSpacing w:val="0"/>
        <w:rPr>
          <w:color w:val="auto"/>
          <w:sz w:val="22"/>
          <w:szCs w:val="22"/>
        </w:rPr>
      </w:pPr>
      <w:r>
        <w:rPr>
          <w:color w:val="auto"/>
          <w:sz w:val="22"/>
        </w:rPr>
        <w:t xml:space="preserve">Soutenir les employeurs à la recherche de main-d’œuvre en facilitant l’embauche de participant·es pour des emplois rémunérés. Les employeurs sont admissibles au remboursement du salaire déboursé pour jusqu’à un maximum 360 heures d’expérience de travail au salaire minimum local. </w:t>
      </w:r>
    </w:p>
    <w:p w14:paraId="388945E0" w14:textId="4B3E4E46" w:rsidR="00DF7E96" w:rsidRPr="008B421A" w:rsidRDefault="00DF7E96" w:rsidP="00DF7E96">
      <w:pPr>
        <w:pStyle w:val="ListParagraph"/>
        <w:numPr>
          <w:ilvl w:val="0"/>
          <w:numId w:val="4"/>
        </w:numPr>
        <w:spacing w:after="0"/>
        <w:rPr>
          <w:color w:val="auto"/>
          <w:sz w:val="22"/>
          <w:szCs w:val="22"/>
        </w:rPr>
      </w:pPr>
      <w:r>
        <w:rPr>
          <w:color w:val="auto"/>
          <w:sz w:val="22"/>
        </w:rPr>
        <w:t xml:space="preserve">Produire les rapports des participant·es et les rapports trimestriels selon les exigences de processus établis. </w:t>
      </w:r>
      <w:r w:rsidR="00B333D6">
        <w:rPr>
          <w:color w:val="auto"/>
          <w:sz w:val="22"/>
        </w:rPr>
        <w:br/>
      </w:r>
    </w:p>
    <w:p w14:paraId="6604375F" w14:textId="4970E1E2" w:rsidR="00192C84" w:rsidRPr="00002AC2" w:rsidRDefault="00192C84" w:rsidP="00002AC2">
      <w:pPr>
        <w:pStyle w:val="ListParagraph"/>
        <w:numPr>
          <w:ilvl w:val="0"/>
          <w:numId w:val="5"/>
        </w:numPr>
        <w:spacing w:before="240" w:after="0"/>
        <w:rPr>
          <w:b/>
          <w:bCs/>
          <w:color w:val="auto"/>
          <w:sz w:val="24"/>
          <w:szCs w:val="24"/>
        </w:rPr>
      </w:pPr>
      <w:r>
        <w:rPr>
          <w:b/>
          <w:color w:val="auto"/>
          <w:sz w:val="24"/>
        </w:rPr>
        <w:t xml:space="preserve">CONTENU DE LA PROPOSITION </w:t>
      </w:r>
    </w:p>
    <w:p w14:paraId="56E707F2" w14:textId="77777777" w:rsidR="000B375E" w:rsidRPr="006F0CB7" w:rsidRDefault="000B375E" w:rsidP="000B375E">
      <w:pPr>
        <w:pStyle w:val="ListParagraph"/>
        <w:numPr>
          <w:ilvl w:val="0"/>
          <w:numId w:val="0"/>
        </w:numPr>
        <w:spacing w:after="0"/>
        <w:ind w:left="360"/>
        <w:rPr>
          <w:color w:val="auto"/>
          <w:sz w:val="16"/>
          <w:szCs w:val="16"/>
          <w:lang w:val="en-CA"/>
        </w:rPr>
      </w:pPr>
    </w:p>
    <w:p w14:paraId="4ACD152C" w14:textId="77777777" w:rsidR="00192C84" w:rsidRPr="00192C84" w:rsidRDefault="00192C84" w:rsidP="00181542">
      <w:pPr>
        <w:spacing w:after="120"/>
        <w:rPr>
          <w:color w:val="auto"/>
          <w:sz w:val="22"/>
          <w:szCs w:val="22"/>
        </w:rPr>
      </w:pPr>
      <w:r>
        <w:rPr>
          <w:color w:val="auto"/>
          <w:sz w:val="22"/>
        </w:rPr>
        <w:t xml:space="preserve">Les renseignements suivants doivent être abordés de façon approfondie pour chaque proposition : </w:t>
      </w:r>
    </w:p>
    <w:p w14:paraId="68295DF0" w14:textId="2BBFFF13" w:rsidR="00510E0F" w:rsidRDefault="00510E0F" w:rsidP="007A4618">
      <w:pPr>
        <w:pStyle w:val="ListParagraph"/>
        <w:numPr>
          <w:ilvl w:val="0"/>
          <w:numId w:val="3"/>
        </w:numPr>
        <w:spacing w:after="120"/>
        <w:ind w:left="714" w:hanging="357"/>
        <w:contextualSpacing w:val="0"/>
        <w:rPr>
          <w:color w:val="auto"/>
          <w:sz w:val="22"/>
          <w:szCs w:val="22"/>
        </w:rPr>
      </w:pPr>
      <w:r>
        <w:rPr>
          <w:color w:val="auto"/>
          <w:sz w:val="22"/>
        </w:rPr>
        <w:t>Fournir une brève description du ou des programme(s) et service(s) ciblant les personnes autistes que votre organisation offre présentement et expliquer de quelle manière vous envisagez que le contenu, les ressources et les mesures de soutien du projet Spectre emploi seront complémentaires à vos moyens existants et pourront aider les personnes que vous soutenez à obtenir et à conserver un emploi.</w:t>
      </w:r>
      <w:r w:rsidR="006836F0">
        <w:rPr>
          <w:color w:val="auto"/>
          <w:sz w:val="22"/>
        </w:rPr>
        <w:t xml:space="preserve"> </w:t>
      </w:r>
    </w:p>
    <w:p w14:paraId="333AA456" w14:textId="4B136FB2" w:rsidR="00DF7E96" w:rsidRDefault="00DF7E96" w:rsidP="007A4618">
      <w:pPr>
        <w:pStyle w:val="ListParagraph"/>
        <w:numPr>
          <w:ilvl w:val="0"/>
          <w:numId w:val="3"/>
        </w:numPr>
        <w:spacing w:after="120"/>
        <w:ind w:left="714" w:hanging="357"/>
        <w:contextualSpacing w:val="0"/>
        <w:rPr>
          <w:color w:val="auto"/>
          <w:sz w:val="22"/>
          <w:szCs w:val="22"/>
        </w:rPr>
      </w:pPr>
      <w:r>
        <w:rPr>
          <w:color w:val="auto"/>
          <w:sz w:val="22"/>
        </w:rPr>
        <w:t xml:space="preserve">Fournir une description de l’approche de facilitation ou du modèle de dotation en personnel prévus au soutien de la mise en œuvre de la programmation de Spectre emploi dans votre offre de services actuelle. </w:t>
      </w:r>
    </w:p>
    <w:p w14:paraId="47137F6D" w14:textId="779C08EC" w:rsidR="00DF25FF" w:rsidRDefault="003239FC" w:rsidP="00181542">
      <w:pPr>
        <w:pStyle w:val="ListParagraph"/>
        <w:numPr>
          <w:ilvl w:val="0"/>
          <w:numId w:val="3"/>
        </w:numPr>
        <w:spacing w:after="120"/>
        <w:ind w:left="714" w:hanging="357"/>
        <w:contextualSpacing w:val="0"/>
        <w:rPr>
          <w:color w:val="auto"/>
          <w:sz w:val="22"/>
          <w:szCs w:val="22"/>
        </w:rPr>
      </w:pPr>
      <w:r>
        <w:rPr>
          <w:color w:val="auto"/>
          <w:sz w:val="22"/>
        </w:rPr>
        <w:t>Préciser le nombre de participant·es que vous souhaitez soutenir par l’intermédiaire du projet Spectre emploi du 1er</w:t>
      </w:r>
      <w:r w:rsidR="00A81978">
        <w:rPr>
          <w:color w:val="auto"/>
          <w:sz w:val="22"/>
        </w:rPr>
        <w:t> </w:t>
      </w:r>
      <w:r>
        <w:rPr>
          <w:color w:val="auto"/>
          <w:sz w:val="22"/>
        </w:rPr>
        <w:t>juin</w:t>
      </w:r>
      <w:r w:rsidR="00A81978">
        <w:rPr>
          <w:color w:val="auto"/>
          <w:sz w:val="22"/>
        </w:rPr>
        <w:t> </w:t>
      </w:r>
      <w:r>
        <w:rPr>
          <w:color w:val="auto"/>
          <w:sz w:val="22"/>
        </w:rPr>
        <w:t>2024 au 15</w:t>
      </w:r>
      <w:r w:rsidR="00A81978">
        <w:rPr>
          <w:color w:val="auto"/>
          <w:sz w:val="22"/>
        </w:rPr>
        <w:t> </w:t>
      </w:r>
      <w:r>
        <w:rPr>
          <w:color w:val="auto"/>
          <w:sz w:val="22"/>
        </w:rPr>
        <w:t>mars 2026, ainsi que les fonds demandés pour fournir les produits livrables décrits ci-dessus</w:t>
      </w:r>
      <w:r w:rsidR="006836F0">
        <w:rPr>
          <w:color w:val="auto"/>
          <w:sz w:val="22"/>
        </w:rPr>
        <w:t>,</w:t>
      </w:r>
      <w:r>
        <w:rPr>
          <w:color w:val="auto"/>
          <w:sz w:val="22"/>
        </w:rPr>
        <w:t xml:space="preserve"> calculés selon le coût par participant·e. Veuillez noter que les fonds pour les mesures de soutien à l’emploi et l’expérience de travail subventionnée à l’employeur ne doivent pas être inclus dans le coût par participant·e dans le cadre de votre proposition. Le coût par participant·e ne doit pas dépasser 5 400 $. Les détails du calcul du coût par participant·e doi</w:t>
      </w:r>
      <w:r w:rsidR="006836F0">
        <w:rPr>
          <w:color w:val="auto"/>
          <w:sz w:val="22"/>
        </w:rPr>
        <w:t>ven</w:t>
      </w:r>
      <w:r>
        <w:rPr>
          <w:color w:val="auto"/>
          <w:sz w:val="22"/>
        </w:rPr>
        <w:t>t être indiqué</w:t>
      </w:r>
      <w:r w:rsidR="006836F0">
        <w:rPr>
          <w:color w:val="auto"/>
          <w:sz w:val="22"/>
        </w:rPr>
        <w:t>s</w:t>
      </w:r>
      <w:r>
        <w:rPr>
          <w:color w:val="auto"/>
          <w:sz w:val="22"/>
        </w:rPr>
        <w:t xml:space="preserve"> dans la proposition (nombre d’heures de service et taux horaire).</w:t>
      </w:r>
    </w:p>
    <w:p w14:paraId="79EA93E6" w14:textId="78CEC8BE" w:rsidR="00002AC2" w:rsidRPr="00181542" w:rsidRDefault="006836F0" w:rsidP="00181542">
      <w:pPr>
        <w:pStyle w:val="ListParagraph"/>
        <w:numPr>
          <w:ilvl w:val="0"/>
          <w:numId w:val="3"/>
        </w:numPr>
        <w:spacing w:after="120"/>
        <w:ind w:left="714" w:hanging="357"/>
        <w:contextualSpacing w:val="0"/>
        <w:rPr>
          <w:color w:val="auto"/>
          <w:sz w:val="22"/>
          <w:szCs w:val="22"/>
        </w:rPr>
      </w:pPr>
      <w:r>
        <w:rPr>
          <w:color w:val="auto"/>
          <w:sz w:val="22"/>
        </w:rPr>
        <w:t>Indiquer le</w:t>
      </w:r>
      <w:r w:rsidR="00002AC2">
        <w:rPr>
          <w:color w:val="auto"/>
          <w:sz w:val="22"/>
        </w:rPr>
        <w:t xml:space="preserve"> ou</w:t>
      </w:r>
      <w:r>
        <w:rPr>
          <w:color w:val="auto"/>
          <w:sz w:val="22"/>
        </w:rPr>
        <w:t xml:space="preserve"> les</w:t>
      </w:r>
      <w:r w:rsidR="00002AC2">
        <w:rPr>
          <w:color w:val="auto"/>
          <w:sz w:val="22"/>
        </w:rPr>
        <w:t xml:space="preserve"> emplacement(s) où les participant·es recevront les services au Québec (municipalité, une ou plusieurs régions, etc.)</w:t>
      </w:r>
    </w:p>
    <w:p w14:paraId="22D3B6F7" w14:textId="37A582C2" w:rsidR="00192C84" w:rsidRDefault="00D767B6" w:rsidP="006F0CB7">
      <w:pPr>
        <w:pStyle w:val="ListParagraph"/>
        <w:numPr>
          <w:ilvl w:val="0"/>
          <w:numId w:val="3"/>
        </w:numPr>
        <w:spacing w:after="0"/>
        <w:ind w:left="714" w:hanging="357"/>
        <w:contextualSpacing w:val="0"/>
        <w:rPr>
          <w:color w:val="auto"/>
          <w:sz w:val="22"/>
          <w:szCs w:val="22"/>
        </w:rPr>
      </w:pPr>
      <w:r>
        <w:rPr>
          <w:color w:val="auto"/>
          <w:sz w:val="22"/>
        </w:rPr>
        <w:t xml:space="preserve">Toute valeur ajoutée apportée au projet par le proposant. L’expérience de développement de contenu et de ressources, de soutien à l’employabilité ou d’engagement des employeurs </w:t>
      </w:r>
      <w:r w:rsidR="00AA1F27">
        <w:rPr>
          <w:color w:val="auto"/>
          <w:sz w:val="22"/>
        </w:rPr>
        <w:t>est un</w:t>
      </w:r>
      <w:r>
        <w:rPr>
          <w:color w:val="auto"/>
          <w:sz w:val="22"/>
        </w:rPr>
        <w:t xml:space="preserve"> atout.</w:t>
      </w:r>
    </w:p>
    <w:p w14:paraId="462AF224" w14:textId="77777777" w:rsidR="006F0CB7" w:rsidRPr="00181542" w:rsidRDefault="006F0CB7" w:rsidP="006F0CB7">
      <w:pPr>
        <w:pStyle w:val="ListParagraph"/>
        <w:numPr>
          <w:ilvl w:val="0"/>
          <w:numId w:val="0"/>
        </w:numPr>
        <w:spacing w:after="0"/>
        <w:ind w:left="714"/>
        <w:contextualSpacing w:val="0"/>
        <w:rPr>
          <w:color w:val="auto"/>
          <w:sz w:val="22"/>
          <w:szCs w:val="22"/>
        </w:rPr>
      </w:pPr>
    </w:p>
    <w:p w14:paraId="67E7A61C" w14:textId="308DD1F3" w:rsidR="00510E0F" w:rsidRPr="006F0CB7" w:rsidRDefault="00510E0F" w:rsidP="006F0CB7">
      <w:pPr>
        <w:pStyle w:val="ListParagraph"/>
        <w:numPr>
          <w:ilvl w:val="0"/>
          <w:numId w:val="5"/>
        </w:numPr>
        <w:spacing w:after="160"/>
        <w:ind w:left="357" w:hanging="357"/>
        <w:contextualSpacing w:val="0"/>
        <w:rPr>
          <w:b/>
          <w:bCs/>
          <w:color w:val="auto"/>
          <w:sz w:val="24"/>
          <w:szCs w:val="24"/>
        </w:rPr>
      </w:pPr>
      <w:r>
        <w:rPr>
          <w:b/>
          <w:color w:val="auto"/>
          <w:sz w:val="24"/>
        </w:rPr>
        <w:t>CRITÈRES DE SÉLECTION</w:t>
      </w:r>
    </w:p>
    <w:p w14:paraId="3CDC74B0" w14:textId="34517C14" w:rsidR="00510E0F" w:rsidRDefault="00510E0F" w:rsidP="006F0CB7">
      <w:pPr>
        <w:spacing w:after="0"/>
        <w:rPr>
          <w:color w:val="auto"/>
          <w:sz w:val="22"/>
          <w:szCs w:val="22"/>
        </w:rPr>
      </w:pPr>
      <w:r>
        <w:rPr>
          <w:color w:val="auto"/>
          <w:sz w:val="22"/>
        </w:rPr>
        <w:t>Les propositions seront évaluées en fonction de l’ampleur et de la pertinence de l’expérience, du contact avec des personnes en recherche d’emploi active et de la qualité de la proposition. Les proposants sélectionnés doivent avoir de l’expérience de prestation de services d’employabilité et de soutien à des personnes autistes ou neurodivergentes en recherche d’emploi, de l’expérience de collaboration avec des employeurs et des entreprises</w:t>
      </w:r>
      <w:r w:rsidR="006836F0">
        <w:rPr>
          <w:color w:val="auto"/>
          <w:sz w:val="22"/>
        </w:rPr>
        <w:t>,</w:t>
      </w:r>
      <w:r>
        <w:rPr>
          <w:color w:val="auto"/>
          <w:sz w:val="22"/>
        </w:rPr>
        <w:t xml:space="preserve"> et</w:t>
      </w:r>
      <w:r w:rsidR="006836F0">
        <w:rPr>
          <w:color w:val="auto"/>
          <w:sz w:val="22"/>
        </w:rPr>
        <w:t xml:space="preserve"> de</w:t>
      </w:r>
      <w:r>
        <w:rPr>
          <w:color w:val="auto"/>
          <w:sz w:val="22"/>
        </w:rPr>
        <w:t xml:space="preserve"> l’expérience en ce qui concerne les milieux de travail neuroinclusifs. </w:t>
      </w:r>
    </w:p>
    <w:p w14:paraId="39F2E73C" w14:textId="77777777" w:rsidR="006F0CB7" w:rsidRPr="00510E0F" w:rsidRDefault="006F0CB7" w:rsidP="006F0CB7">
      <w:pPr>
        <w:spacing w:after="0"/>
        <w:rPr>
          <w:color w:val="auto"/>
          <w:sz w:val="22"/>
          <w:szCs w:val="22"/>
          <w:lang w:val="en-CA"/>
        </w:rPr>
      </w:pPr>
    </w:p>
    <w:p w14:paraId="477E718E" w14:textId="45867F11" w:rsidR="00192C84" w:rsidRPr="00002AC2" w:rsidRDefault="00192C84" w:rsidP="006F0CB7">
      <w:pPr>
        <w:pStyle w:val="ListParagraph"/>
        <w:numPr>
          <w:ilvl w:val="0"/>
          <w:numId w:val="5"/>
        </w:numPr>
        <w:spacing w:after="160"/>
        <w:ind w:left="357" w:hanging="357"/>
        <w:contextualSpacing w:val="0"/>
        <w:rPr>
          <w:color w:val="auto"/>
          <w:sz w:val="22"/>
          <w:szCs w:val="22"/>
        </w:rPr>
      </w:pPr>
      <w:r>
        <w:rPr>
          <w:b/>
          <w:color w:val="auto"/>
          <w:sz w:val="24"/>
        </w:rPr>
        <w:t xml:space="preserve">SOUMISSION DES PROPOSITIONS </w:t>
      </w:r>
    </w:p>
    <w:p w14:paraId="43F23BED" w14:textId="0BF51C45" w:rsidR="004F47C2" w:rsidRPr="00AA3C29" w:rsidRDefault="000A1906" w:rsidP="00192C84">
      <w:pPr>
        <w:spacing w:after="0"/>
        <w:rPr>
          <w:color w:val="auto"/>
          <w:sz w:val="22"/>
          <w:szCs w:val="22"/>
        </w:rPr>
      </w:pPr>
      <w:r>
        <w:rPr>
          <w:color w:val="auto"/>
          <w:sz w:val="22"/>
        </w:rPr>
        <w:t xml:space="preserve">Cette demande d’offres de services demeure ouverte jusqu’à ce que </w:t>
      </w:r>
      <w:r w:rsidR="00941B64">
        <w:rPr>
          <w:color w:val="auto"/>
          <w:sz w:val="22"/>
        </w:rPr>
        <w:t>l</w:t>
      </w:r>
      <w:r>
        <w:rPr>
          <w:color w:val="auto"/>
          <w:sz w:val="22"/>
        </w:rPr>
        <w:t xml:space="preserve">es fonds disponibles par l’intermédiaire du projet soient engagés. Les proposants doivent soumettre leur offre de services au format PDF à l’attention de Jessica Genato par courriel au </w:t>
      </w:r>
      <w:hyperlink r:id="rId9" w:history="1">
        <w:r>
          <w:rPr>
            <w:rStyle w:val="Hyperlink"/>
            <w:sz w:val="22"/>
          </w:rPr>
          <w:t>jessica.genato@sinneavefoundation.org</w:t>
        </w:r>
      </w:hyperlink>
      <w:r>
        <w:rPr>
          <w:color w:val="auto"/>
          <w:sz w:val="22"/>
        </w:rPr>
        <w:t xml:space="preserve">. </w:t>
      </w:r>
      <w:r>
        <w:rPr>
          <w:color w:val="auto"/>
          <w:sz w:val="22"/>
        </w:rPr>
        <w:lastRenderedPageBreak/>
        <w:t>Sinneave répondra à toutes les propositions dans les sept jours suivant l</w:t>
      </w:r>
      <w:r w:rsidR="006836F0">
        <w:rPr>
          <w:color w:val="auto"/>
          <w:sz w:val="22"/>
        </w:rPr>
        <w:t>eur</w:t>
      </w:r>
      <w:r>
        <w:rPr>
          <w:color w:val="auto"/>
          <w:sz w:val="22"/>
        </w:rPr>
        <w:t xml:space="preserve"> réception e</w:t>
      </w:r>
      <w:r w:rsidR="006836F0">
        <w:rPr>
          <w:color w:val="auto"/>
          <w:sz w:val="22"/>
        </w:rPr>
        <w:t>n</w:t>
      </w:r>
      <w:r>
        <w:rPr>
          <w:color w:val="auto"/>
          <w:sz w:val="22"/>
        </w:rPr>
        <w:t xml:space="preserve"> indiqu</w:t>
      </w:r>
      <w:r w:rsidR="006836F0">
        <w:rPr>
          <w:color w:val="auto"/>
          <w:sz w:val="22"/>
        </w:rPr>
        <w:t>ant</w:t>
      </w:r>
      <w:r>
        <w:rPr>
          <w:color w:val="auto"/>
          <w:sz w:val="22"/>
        </w:rPr>
        <w:t xml:space="preserve"> les prochaines étapes du processus. Sinneave accepte de considérer d’autre</w:t>
      </w:r>
      <w:r w:rsidR="00A81978">
        <w:rPr>
          <w:color w:val="auto"/>
          <w:sz w:val="22"/>
        </w:rPr>
        <w:t>s</w:t>
      </w:r>
      <w:r>
        <w:rPr>
          <w:color w:val="auto"/>
          <w:sz w:val="22"/>
        </w:rPr>
        <w:t xml:space="preserve"> formats pour l</w:t>
      </w:r>
      <w:r w:rsidR="006836F0">
        <w:rPr>
          <w:color w:val="auto"/>
          <w:sz w:val="22"/>
        </w:rPr>
        <w:t>a communication d</w:t>
      </w:r>
      <w:r>
        <w:rPr>
          <w:color w:val="auto"/>
          <w:sz w:val="22"/>
        </w:rPr>
        <w:t>es propositions, y compris la présentation orale.</w:t>
      </w:r>
    </w:p>
    <w:p w14:paraId="503CD2DE" w14:textId="331973AF" w:rsidR="00192C84" w:rsidRPr="00EB7B6B" w:rsidRDefault="00192C84" w:rsidP="006F0CB7">
      <w:pPr>
        <w:pStyle w:val="ListParagraph"/>
        <w:numPr>
          <w:ilvl w:val="0"/>
          <w:numId w:val="5"/>
        </w:numPr>
        <w:spacing w:before="160" w:after="160"/>
        <w:ind w:left="357" w:hanging="357"/>
        <w:contextualSpacing w:val="0"/>
        <w:rPr>
          <w:color w:val="auto"/>
          <w:sz w:val="24"/>
          <w:szCs w:val="24"/>
        </w:rPr>
      </w:pPr>
      <w:r>
        <w:rPr>
          <w:b/>
          <w:color w:val="auto"/>
          <w:sz w:val="24"/>
        </w:rPr>
        <w:t xml:space="preserve">QUESTIONS ET DEMANDES </w:t>
      </w:r>
    </w:p>
    <w:p w14:paraId="487265B7" w14:textId="304DB43D" w:rsidR="00192C84" w:rsidRPr="00192C84" w:rsidRDefault="00192C84" w:rsidP="00192C84">
      <w:pPr>
        <w:spacing w:after="0"/>
        <w:rPr>
          <w:color w:val="auto"/>
          <w:sz w:val="22"/>
          <w:szCs w:val="22"/>
        </w:rPr>
      </w:pPr>
      <w:r>
        <w:rPr>
          <w:color w:val="auto"/>
          <w:sz w:val="22"/>
        </w:rPr>
        <w:t xml:space="preserve">Veuillez transmettre toute question ou demande de renseignements concernant la présente Demande d’offres de services à : </w:t>
      </w:r>
      <w:r w:rsidR="00B333D6">
        <w:rPr>
          <w:color w:val="auto"/>
          <w:sz w:val="22"/>
        </w:rPr>
        <w:br/>
      </w:r>
    </w:p>
    <w:p w14:paraId="569F87C3" w14:textId="14EC69E0" w:rsidR="004F47C2" w:rsidRPr="004F47C2" w:rsidRDefault="00EE623D" w:rsidP="004F47C2">
      <w:pPr>
        <w:spacing w:after="0"/>
        <w:rPr>
          <w:color w:val="auto"/>
          <w:sz w:val="22"/>
          <w:szCs w:val="22"/>
        </w:rPr>
      </w:pPr>
      <w:r>
        <w:rPr>
          <w:color w:val="auto"/>
          <w:sz w:val="22"/>
        </w:rPr>
        <w:t>Jessica Genato, adjointe à la direction</w:t>
      </w:r>
    </w:p>
    <w:p w14:paraId="0399CA55" w14:textId="3B4B8024" w:rsidR="004F47C2" w:rsidRDefault="00C54596" w:rsidP="004F47C2">
      <w:pPr>
        <w:spacing w:after="0"/>
        <w:rPr>
          <w:color w:val="auto"/>
          <w:sz w:val="22"/>
          <w:szCs w:val="22"/>
        </w:rPr>
      </w:pPr>
      <w:r>
        <w:rPr>
          <w:color w:val="auto"/>
          <w:sz w:val="22"/>
        </w:rPr>
        <w:t>The Sinneave Family Foundation</w:t>
      </w:r>
    </w:p>
    <w:p w14:paraId="0C4FF9E9" w14:textId="0C467BD6" w:rsidR="006418A6" w:rsidRDefault="00B333D6" w:rsidP="000B375E">
      <w:pPr>
        <w:spacing w:after="0"/>
        <w:rPr>
          <w:sz w:val="22"/>
          <w:szCs w:val="22"/>
        </w:rPr>
      </w:pPr>
      <w:hyperlink r:id="rId10" w:history="1">
        <w:r w:rsidR="003239FC">
          <w:rPr>
            <w:rStyle w:val="Hyperlink"/>
            <w:sz w:val="22"/>
          </w:rPr>
          <w:t>jessica.genato@sinneavefoundation.org</w:t>
        </w:r>
      </w:hyperlink>
    </w:p>
    <w:p w14:paraId="0709695B" w14:textId="0F1B8CC5" w:rsidR="00E86557" w:rsidRDefault="00E86557" w:rsidP="000B375E">
      <w:pPr>
        <w:spacing w:after="0"/>
        <w:rPr>
          <w:sz w:val="22"/>
          <w:szCs w:val="22"/>
        </w:rPr>
      </w:pPr>
    </w:p>
    <w:p w14:paraId="2EF42AB3" w14:textId="300855B6" w:rsidR="00E86557" w:rsidRPr="008A4958" w:rsidRDefault="008A4958" w:rsidP="000B375E">
      <w:pPr>
        <w:spacing w:after="0"/>
        <w:rPr>
          <w:color w:val="auto"/>
          <w:sz w:val="22"/>
          <w:szCs w:val="22"/>
        </w:rPr>
      </w:pPr>
      <w:r>
        <w:rPr>
          <w:color w:val="auto"/>
          <w:sz w:val="22"/>
        </w:rPr>
        <w:t xml:space="preserve">Les demandes d’accès au contenu et aux ressources du projet (programme </w:t>
      </w:r>
      <w:r w:rsidR="00FD56EB">
        <w:rPr>
          <w:color w:val="auto"/>
          <w:sz w:val="22"/>
        </w:rPr>
        <w:t>Spectre emploi</w:t>
      </w:r>
      <w:r>
        <w:rPr>
          <w:color w:val="auto"/>
          <w:sz w:val="22"/>
        </w:rPr>
        <w:t xml:space="preserve"> en ligne, portail </w:t>
      </w:r>
      <w:r w:rsidR="00FD56EB">
        <w:rPr>
          <w:color w:val="auto"/>
          <w:sz w:val="22"/>
        </w:rPr>
        <w:t>Spectre emploi</w:t>
      </w:r>
      <w:r>
        <w:rPr>
          <w:color w:val="auto"/>
          <w:sz w:val="22"/>
        </w:rPr>
        <w:t>, etc.) dans le but d’évaluer leur adéquation pour les chercheuses et chercheurs d’emploi que vous soutenez doivent être transmises à :</w:t>
      </w:r>
      <w:r w:rsidR="00B333D6">
        <w:rPr>
          <w:color w:val="auto"/>
          <w:sz w:val="22"/>
        </w:rPr>
        <w:br/>
      </w:r>
    </w:p>
    <w:p w14:paraId="48A8D817" w14:textId="6B28DB0D" w:rsidR="00E86557" w:rsidRPr="008A4958" w:rsidRDefault="00E86557" w:rsidP="000B375E">
      <w:pPr>
        <w:spacing w:after="0"/>
        <w:rPr>
          <w:color w:val="auto"/>
          <w:sz w:val="22"/>
          <w:szCs w:val="22"/>
        </w:rPr>
      </w:pPr>
      <w:r>
        <w:rPr>
          <w:color w:val="auto"/>
          <w:sz w:val="22"/>
        </w:rPr>
        <w:t>Ian Humphreys, conseiller en emploi</w:t>
      </w:r>
    </w:p>
    <w:p w14:paraId="36BD5979" w14:textId="1276E0C3" w:rsidR="00E86557" w:rsidRPr="008A4958" w:rsidRDefault="00E86557" w:rsidP="000B375E">
      <w:pPr>
        <w:spacing w:after="0"/>
        <w:rPr>
          <w:color w:val="auto"/>
          <w:sz w:val="22"/>
          <w:szCs w:val="22"/>
        </w:rPr>
      </w:pPr>
      <w:r>
        <w:rPr>
          <w:color w:val="auto"/>
          <w:sz w:val="22"/>
        </w:rPr>
        <w:t>The Sinneave Family Foundation</w:t>
      </w:r>
    </w:p>
    <w:p w14:paraId="77DF1724" w14:textId="16C0F6E1" w:rsidR="008A4958" w:rsidRDefault="00B333D6" w:rsidP="000B375E">
      <w:pPr>
        <w:spacing w:after="0"/>
        <w:rPr>
          <w:sz w:val="22"/>
          <w:szCs w:val="22"/>
        </w:rPr>
      </w:pPr>
      <w:hyperlink r:id="rId11" w:history="1">
        <w:r w:rsidR="003239FC">
          <w:rPr>
            <w:rStyle w:val="Hyperlink"/>
            <w:sz w:val="22"/>
          </w:rPr>
          <w:t>Ian.humphreys@sinneavefoundation.org</w:t>
        </w:r>
      </w:hyperlink>
    </w:p>
    <w:p w14:paraId="08324C4B" w14:textId="77777777" w:rsidR="0001575E" w:rsidRPr="006418A6" w:rsidRDefault="0001575E" w:rsidP="006418A6">
      <w:pPr>
        <w:tabs>
          <w:tab w:val="left" w:pos="3600"/>
        </w:tabs>
        <w:rPr>
          <w:sz w:val="22"/>
          <w:szCs w:val="22"/>
        </w:rPr>
      </w:pPr>
    </w:p>
    <w:sectPr w:rsidR="0001575E" w:rsidRPr="006418A6" w:rsidSect="00795E23">
      <w:headerReference w:type="even" r:id="rId12"/>
      <w:headerReference w:type="default" r:id="rId13"/>
      <w:footerReference w:type="even" r:id="rId14"/>
      <w:footerReference w:type="default" r:id="rId15"/>
      <w:headerReference w:type="first" r:id="rId16"/>
      <w:pgSz w:w="12240" w:h="15840"/>
      <w:pgMar w:top="998" w:right="1077" w:bottom="1134" w:left="1077" w:header="510" w:footer="39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8B26A" w14:textId="77777777" w:rsidR="00412D88" w:rsidRDefault="00412D88" w:rsidP="00F61BA0">
      <w:r>
        <w:separator/>
      </w:r>
    </w:p>
    <w:p w14:paraId="0681593D" w14:textId="77777777" w:rsidR="00412D88" w:rsidRDefault="00412D88" w:rsidP="00F61BA0"/>
  </w:endnote>
  <w:endnote w:type="continuationSeparator" w:id="0">
    <w:p w14:paraId="31423AE3" w14:textId="77777777" w:rsidR="00412D88" w:rsidRDefault="00412D88" w:rsidP="00F61BA0">
      <w:r>
        <w:continuationSeparator/>
      </w:r>
    </w:p>
    <w:p w14:paraId="54D9EFDA" w14:textId="77777777" w:rsidR="00412D88" w:rsidRDefault="00412D88" w:rsidP="00F61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ABBF" w14:textId="77777777" w:rsidR="002C3D2D" w:rsidRDefault="002C3D2D" w:rsidP="00E0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DE66D9" w14:textId="77777777" w:rsidR="006C1C9A" w:rsidRDefault="006C1C9A" w:rsidP="002C3D2D">
    <w:pPr>
      <w:pStyle w:val="Footer"/>
      <w:ind w:right="360"/>
      <w:rPr>
        <w:rStyle w:val="PageNumber"/>
      </w:rPr>
    </w:pPr>
  </w:p>
  <w:p w14:paraId="211C6FF8" w14:textId="77777777" w:rsidR="006C1C9A" w:rsidRDefault="006C1C9A" w:rsidP="006C1C9A">
    <w:pPr>
      <w:pStyle w:val="Footer"/>
      <w:rPr>
        <w:rStyle w:val="PageNumber"/>
      </w:rPr>
    </w:pPr>
  </w:p>
  <w:p w14:paraId="5B004E77" w14:textId="77777777" w:rsidR="006C1C9A" w:rsidRDefault="006C1C9A" w:rsidP="006C1C9A">
    <w:pPr>
      <w:pStyle w:val="Footer"/>
      <w:rPr>
        <w:rStyle w:val="PageNumber"/>
      </w:rPr>
    </w:pPr>
  </w:p>
  <w:p w14:paraId="35CF0F1C" w14:textId="77777777" w:rsidR="006C1C9A" w:rsidRDefault="006C1C9A" w:rsidP="006C1C9A">
    <w:pPr>
      <w:pStyle w:val="Footer"/>
    </w:pPr>
  </w:p>
  <w:p w14:paraId="638383E1" w14:textId="77777777" w:rsidR="006C1C9A" w:rsidRDefault="006C1C9A" w:rsidP="00F61B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601F" w14:textId="77777777" w:rsidR="00E0609A" w:rsidRDefault="00E0609A" w:rsidP="00B43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C36">
      <w:rPr>
        <w:rStyle w:val="PageNumber"/>
      </w:rPr>
      <w:t>2</w:t>
    </w:r>
    <w:r>
      <w:rPr>
        <w:rStyle w:val="PageNumber"/>
      </w:rPr>
      <w:fldChar w:fldCharType="end"/>
    </w:r>
  </w:p>
  <w:p w14:paraId="2CD26BD7" w14:textId="77777777" w:rsidR="00E0609A" w:rsidRDefault="00E0609A" w:rsidP="00E0609A">
    <w:pPr>
      <w:pStyle w:val="Footer"/>
      <w:ind w:right="360"/>
    </w:pPr>
    <w:r>
      <w:rPr>
        <w:noProof/>
      </w:rPr>
      <mc:AlternateContent>
        <mc:Choice Requires="wpg">
          <w:drawing>
            <wp:anchor distT="0" distB="0" distL="114300" distR="114300" simplePos="0" relativeHeight="251656192" behindDoc="0" locked="0" layoutInCell="1" allowOverlap="1" wp14:anchorId="2B89862C" wp14:editId="55ED0C0B">
              <wp:simplePos x="0" y="0"/>
              <wp:positionH relativeFrom="page">
                <wp:posOffset>685800</wp:posOffset>
              </wp:positionH>
              <wp:positionV relativeFrom="page">
                <wp:posOffset>8803640</wp:posOffset>
              </wp:positionV>
              <wp:extent cx="6400800" cy="797560"/>
              <wp:effectExtent l="0" t="0" r="25400" b="15240"/>
              <wp:wrapThrough wrapText="bothSides">
                <wp:wrapPolygon edited="0">
                  <wp:start x="0" y="0"/>
                  <wp:lineTo x="0" y="21325"/>
                  <wp:lineTo x="21600" y="21325"/>
                  <wp:lineTo x="21600" y="0"/>
                  <wp:lineTo x="0" y="0"/>
                </wp:wrapPolygon>
              </wp:wrapThrough>
              <wp:docPr id="22" name="Group 22"/>
              <wp:cNvGraphicFramePr/>
              <a:graphic xmlns:a="http://schemas.openxmlformats.org/drawingml/2006/main">
                <a:graphicData uri="http://schemas.microsoft.com/office/word/2010/wordprocessingGroup">
                  <wpg:wgp>
                    <wpg:cNvGrpSpPr/>
                    <wpg:grpSpPr>
                      <a:xfrm>
                        <a:off x="0" y="0"/>
                        <a:ext cx="6400800" cy="797560"/>
                        <a:chOff x="0" y="0"/>
                        <a:chExt cx="6400800" cy="797560"/>
                      </a:xfrm>
                    </wpg:grpSpPr>
                    <wps:wsp>
                      <wps:cNvPr id="23" name="Text Box 23"/>
                      <wps:cNvSpPr txBox="1"/>
                      <wps:spPr>
                        <a:xfrm>
                          <a:off x="0" y="0"/>
                          <a:ext cx="6400800" cy="7975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CE1FD31" w14:textId="77777777" w:rsidR="00E0609A" w:rsidRPr="006C1C9A" w:rsidRDefault="00E0609A" w:rsidP="00E0609A">
                            <w:pPr>
                              <w:pStyle w:val="Footer"/>
                            </w:pPr>
                            <w:r>
                              <w:rPr>
                                <w:rStyle w:val="Strong"/>
                              </w:rPr>
                              <w:t>T</w:t>
                            </w:r>
                            <w:r>
                              <w:t xml:space="preserve"> 403 210-5000  </w:t>
                            </w:r>
                            <w:r>
                              <w:rPr>
                                <w:rStyle w:val="Strong"/>
                              </w:rPr>
                              <w:t>F</w:t>
                            </w:r>
                            <w:r>
                              <w:t xml:space="preserve"> 403 284-9298  </w:t>
                            </w:r>
                            <w:r>
                              <w:rPr>
                                <w:rStyle w:val="Strong"/>
                              </w:rPr>
                              <w:t>Sans frais</w:t>
                            </w:r>
                            <w:r>
                              <w:t xml:space="preserve"> 1-888-733-7976 </w:t>
                            </w:r>
                            <w:r>
                              <w:br/>
                              <w:t>Adresse : THE ABILITY HUB, 3</w:t>
                            </w:r>
                            <w:r>
                              <w:rPr>
                                <w:vertAlign w:val="superscript"/>
                              </w:rPr>
                              <w:t>rd</w:t>
                            </w:r>
                            <w:r>
                              <w:t xml:space="preserve"> Floor, 3820 24</w:t>
                            </w:r>
                            <w:r>
                              <w:rPr>
                                <w:vertAlign w:val="superscript"/>
                              </w:rPr>
                              <w:t>th</w:t>
                            </w:r>
                            <w:r>
                              <w:t xml:space="preserve"> Avenue NW, Calgary, Alberta T3B 2X9</w:t>
                            </w:r>
                            <w:r>
                              <w:br/>
                            </w:r>
                          </w:p>
                          <w:p w14:paraId="04BB2C8C" w14:textId="77777777" w:rsidR="00E0609A" w:rsidRPr="008F6B5D" w:rsidRDefault="00E0609A" w:rsidP="00E0609A">
                            <w:pPr>
                              <w:pStyle w:val="URL"/>
                            </w:pPr>
                            <w:r>
                              <w:t>sinneavefoundation.org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4" name="Straight Connector 24"/>
                      <wps:cNvCnPr/>
                      <wps:spPr>
                        <a:xfrm>
                          <a:off x="0" y="457200"/>
                          <a:ext cx="6400800" cy="0"/>
                        </a:xfrm>
                        <a:prstGeom prst="line">
                          <a:avLst/>
                        </a:prstGeom>
                        <a:ln>
                          <a:solidFill>
                            <a:srgbClr val="34B233"/>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B89862C" id="Group 22" o:spid="_x0000_s1026" style="position:absolute;margin-left:54pt;margin-top:693.2pt;width:7in;height:62.8pt;z-index:251656192;mso-position-horizontal-relative:page;mso-position-vertical-relative:page" coordsize="6400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">
              <v:shapetype id="_x0000_t202" coordsize="21600,21600" o:spt="202" path="m,l,21600r21600,l21600,xe">
                <v:stroke joinstyle="miter"/>
                <v:path gradientshapeok="t" o:connecttype="rect"/>
              </v:shapetype>
              <v:shape id="Text Box 23" o:spid="_x0000_s1027" type="#_x0000_t202" style="position:absolute;width:64008;height:79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" filled="f" stroked="f">
                <v:textbox inset="0,0,0,0">
                  <w:txbxContent>
                    <w:p w14:paraId="7CE1FD31" w14:textId="77777777" w:rsidR="00E0609A" w:rsidRPr="006C1C9A" w:rsidRDefault="00E0609A" w:rsidP="00E0609A">
                      <w:pPr>
                        <w:pStyle w:val="Footer"/>
                      </w:pPr>
                      <w:r>
                        <w:rPr>
                          <w:rStyle w:val="Strong"/>
                        </w:rPr>
                        <w:t xml:space="preserve">T</w:t>
                      </w:r>
                      <w:r>
                        <w:t xml:space="preserve"> 403 210-5000  </w:t>
                      </w:r>
                      <w:r>
                        <w:rPr>
                          <w:rStyle w:val="Strong"/>
                        </w:rPr>
                        <w:t xml:space="preserve">F</w:t>
                      </w:r>
                      <w:r>
                        <w:t xml:space="preserve"> 403 284-9298  </w:t>
                      </w:r>
                      <w:r>
                        <w:rPr>
                          <w:rStyle w:val="Strong"/>
                        </w:rPr>
                        <w:t xml:space="preserve">Sans frais</w:t>
                      </w:r>
                      <w:r>
                        <w:t xml:space="preserve"> 1-888-733-7976 </w:t>
                      </w:r>
                      <w:r>
                        <w:br/>
                      </w:r>
                      <w:r>
                        <w:t xml:space="preserve">Adresse : THE ABILITY HUB, 3</w:t>
                      </w:r>
                      <w:r>
                        <w:rPr>
                          <w:vertAlign w:val="superscript"/>
                        </w:rPr>
                        <w:t xml:space="preserve">rd</w:t>
                      </w:r>
                      <w:r>
                        <w:t xml:space="preserve"> Floor, 3820 24</w:t>
                      </w:r>
                      <w:r>
                        <w:rPr>
                          <w:vertAlign w:val="superscript"/>
                        </w:rPr>
                        <w:t xml:space="preserve">th</w:t>
                      </w:r>
                      <w:r>
                        <w:t xml:space="preserve"> Avenue NW, Calgary, Alberta T3B 2X9</w:t>
                      </w:r>
                      <w:r>
                        <w:br/>
                      </w:r>
                    </w:p>
                    <w:p w14:paraId="04BB2C8C" w14:textId="77777777" w:rsidR="00E0609A" w:rsidRPr="008F6B5D" w:rsidRDefault="00E0609A" w:rsidP="00E0609A">
                      <w:pPr>
                        <w:pStyle w:val="URL"/>
                      </w:pPr>
                      <w:r>
                        <w:t xml:space="preserve">sinneavefoundation.org</w:t>
                      </w:r>
                    </w:p>
                  </w:txbxContent>
                </v:textbox>
              </v:shape>
              <v:line id="Straight Connector 24" o:spid="_x0000_s1028" style="position:absolute;visibility:visible;mso-wrap-style:square" from="0,4572" to="6400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" strokecolor="#34b233" strokeweight="2pt"/>
              <w10:wrap type="through"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3CCC1" w14:textId="77777777" w:rsidR="00412D88" w:rsidRDefault="00412D88" w:rsidP="00F61BA0">
      <w:r>
        <w:separator/>
      </w:r>
    </w:p>
    <w:p w14:paraId="5572C721" w14:textId="77777777" w:rsidR="00412D88" w:rsidRDefault="00412D88" w:rsidP="00F61BA0"/>
  </w:footnote>
  <w:footnote w:type="continuationSeparator" w:id="0">
    <w:p w14:paraId="606D100F" w14:textId="77777777" w:rsidR="00412D88" w:rsidRDefault="00412D88" w:rsidP="00F61BA0">
      <w:r>
        <w:continuationSeparator/>
      </w:r>
    </w:p>
    <w:p w14:paraId="530DE8FD" w14:textId="77777777" w:rsidR="00412D88" w:rsidRDefault="00412D88" w:rsidP="00F61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37424" w14:textId="77777777" w:rsidR="006C1C9A" w:rsidRDefault="006C1C9A" w:rsidP="006C1C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B8922" w14:textId="77777777" w:rsidR="006C1C9A" w:rsidRDefault="006C1C9A" w:rsidP="00E32B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AAA0" w14:textId="2A652ACB" w:rsidR="006C1C9A" w:rsidRDefault="006C1C9A" w:rsidP="00E32BE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BB4" w14:textId="3D8FCD4B" w:rsidR="006C1C9A" w:rsidRDefault="00EB7B6B" w:rsidP="00F61BA0">
    <w:pPr>
      <w:pStyle w:val="Header"/>
    </w:pPr>
    <w:r>
      <w:rPr>
        <w:noProof/>
      </w:rPr>
      <w:drawing>
        <wp:anchor distT="0" distB="0" distL="114300" distR="114300" simplePos="0" relativeHeight="251657216" behindDoc="0" locked="0" layoutInCell="1" allowOverlap="1" wp14:anchorId="4D41C540" wp14:editId="1B44EB98">
          <wp:simplePos x="0" y="0"/>
          <wp:positionH relativeFrom="column">
            <wp:posOffset>3573780</wp:posOffset>
          </wp:positionH>
          <wp:positionV relativeFrom="paragraph">
            <wp:posOffset>-217170</wp:posOffset>
          </wp:positionV>
          <wp:extent cx="923925" cy="952500"/>
          <wp:effectExtent l="0" t="0" r="9525" b="0"/>
          <wp:wrapTopAndBottom/>
          <wp:docPr id="1969326164" name="Picture 1" descr="A hexagon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62870" name="Picture 1" descr="A hexagon with blue and purple text&#10;&#10;Description automatically generated"/>
                  <pic:cNvPicPr/>
                </pic:nvPicPr>
                <pic:blipFill>
                  <a:blip r:embed="rId1"/>
                  <a:stretch>
                    <a:fillRect/>
                  </a:stretch>
                </pic:blipFill>
                <pic:spPr>
                  <a:xfrm>
                    <a:off x="0" y="0"/>
                    <a:ext cx="923925" cy="952500"/>
                  </a:xfrm>
                  <a:prstGeom prst="rect">
                    <a:avLst/>
                  </a:prstGeom>
                </pic:spPr>
              </pic:pic>
            </a:graphicData>
          </a:graphic>
        </wp:anchor>
      </w:drawing>
    </w:r>
    <w:r>
      <w:rPr>
        <w:noProof/>
      </w:rPr>
      <w:drawing>
        <wp:anchor distT="0" distB="0" distL="114300" distR="114300" simplePos="0" relativeHeight="251658240" behindDoc="0" locked="0" layoutInCell="1" allowOverlap="1" wp14:anchorId="007C0D16" wp14:editId="1269EA70">
          <wp:simplePos x="0" y="0"/>
          <wp:positionH relativeFrom="column">
            <wp:posOffset>1554480</wp:posOffset>
          </wp:positionH>
          <wp:positionV relativeFrom="paragraph">
            <wp:posOffset>26670</wp:posOffset>
          </wp:positionV>
          <wp:extent cx="1573200" cy="460723"/>
          <wp:effectExtent l="0" t="0" r="8255" b="0"/>
          <wp:wrapTopAndBottom/>
          <wp:docPr id="21" name="Picture 2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een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3200" cy="460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871"/>
    <w:multiLevelType w:val="multilevel"/>
    <w:tmpl w:val="0409001F"/>
    <w:styleLink w:val="111111"/>
    <w:lvl w:ilvl="0">
      <w:start w:val="1"/>
      <w:numFmt w:val="decimal"/>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EC7310"/>
    <w:multiLevelType w:val="hybridMultilevel"/>
    <w:tmpl w:val="F0488A14"/>
    <w:lvl w:ilvl="0" w:tplc="AE929A82">
      <w:start w:val="1"/>
      <w:numFmt w:val="lowerLetter"/>
      <w:lvlText w:val="%1)"/>
      <w:lvlJc w:val="left"/>
      <w:pPr>
        <w:ind w:left="720" w:hanging="360"/>
      </w:pPr>
      <w:rPr>
        <w:b w:val="0"/>
        <w:bCs w:val="0"/>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225F72"/>
    <w:multiLevelType w:val="hybridMultilevel"/>
    <w:tmpl w:val="547436C4"/>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BC4722"/>
    <w:multiLevelType w:val="multilevel"/>
    <w:tmpl w:val="0409001F"/>
    <w:numStyleLink w:val="111111"/>
  </w:abstractNum>
  <w:abstractNum w:abstractNumId="4" w15:restartNumberingAfterBreak="0">
    <w:nsid w:val="45ED4CA3"/>
    <w:multiLevelType w:val="hybridMultilevel"/>
    <w:tmpl w:val="A32A23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69C5E32"/>
    <w:multiLevelType w:val="hybridMultilevel"/>
    <w:tmpl w:val="EC341920"/>
    <w:lvl w:ilvl="0" w:tplc="27381840">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5B256F10"/>
    <w:multiLevelType w:val="hybridMultilevel"/>
    <w:tmpl w:val="6C1A87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2C7552"/>
    <w:multiLevelType w:val="hybridMultilevel"/>
    <w:tmpl w:val="581C9B78"/>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8" w15:restartNumberingAfterBreak="0">
    <w:nsid w:val="611A69B1"/>
    <w:multiLevelType w:val="hybridMultilevel"/>
    <w:tmpl w:val="D52CB1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6F4D3AD1"/>
    <w:multiLevelType w:val="hybridMultilevel"/>
    <w:tmpl w:val="3EE40D3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6153CB"/>
    <w:multiLevelType w:val="hybridMultilevel"/>
    <w:tmpl w:val="97005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FB1D04"/>
    <w:multiLevelType w:val="hybridMultilevel"/>
    <w:tmpl w:val="02782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7F366F"/>
    <w:multiLevelType w:val="hybridMultilevel"/>
    <w:tmpl w:val="DC1EF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333250">
    <w:abstractNumId w:val="0"/>
  </w:num>
  <w:num w:numId="2" w16cid:durableId="1442726926">
    <w:abstractNumId w:val="3"/>
  </w:num>
  <w:num w:numId="3" w16cid:durableId="2120028205">
    <w:abstractNumId w:val="1"/>
  </w:num>
  <w:num w:numId="4" w16cid:durableId="605037431">
    <w:abstractNumId w:val="9"/>
  </w:num>
  <w:num w:numId="5" w16cid:durableId="905065915">
    <w:abstractNumId w:val="5"/>
  </w:num>
  <w:num w:numId="6" w16cid:durableId="99028625">
    <w:abstractNumId w:val="10"/>
  </w:num>
  <w:num w:numId="7" w16cid:durableId="825782398">
    <w:abstractNumId w:val="6"/>
  </w:num>
  <w:num w:numId="8" w16cid:durableId="2097744410">
    <w:abstractNumId w:val="2"/>
  </w:num>
  <w:num w:numId="9" w16cid:durableId="1970743672">
    <w:abstractNumId w:val="4"/>
  </w:num>
  <w:num w:numId="10" w16cid:durableId="825243971">
    <w:abstractNumId w:val="8"/>
  </w:num>
  <w:num w:numId="11" w16cid:durableId="1689865830">
    <w:abstractNumId w:val="3"/>
  </w:num>
  <w:num w:numId="12" w16cid:durableId="2011060065">
    <w:abstractNumId w:val="3"/>
  </w:num>
  <w:num w:numId="13" w16cid:durableId="1874342411">
    <w:abstractNumId w:val="3"/>
  </w:num>
  <w:num w:numId="14" w16cid:durableId="1626887047">
    <w:abstractNumId w:val="3"/>
  </w:num>
  <w:num w:numId="15" w16cid:durableId="1934317268">
    <w:abstractNumId w:val="3"/>
  </w:num>
  <w:num w:numId="16" w16cid:durableId="851188440">
    <w:abstractNumId w:val="11"/>
  </w:num>
  <w:num w:numId="17" w16cid:durableId="969752492">
    <w:abstractNumId w:val="12"/>
  </w:num>
  <w:num w:numId="18" w16cid:durableId="209882190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C7179"/>
    <w:rsid w:val="00002AC2"/>
    <w:rsid w:val="0001575E"/>
    <w:rsid w:val="000221D5"/>
    <w:rsid w:val="000316AC"/>
    <w:rsid w:val="00034B92"/>
    <w:rsid w:val="000476D1"/>
    <w:rsid w:val="00091CB2"/>
    <w:rsid w:val="000A1906"/>
    <w:rsid w:val="000A7975"/>
    <w:rsid w:val="000B282A"/>
    <w:rsid w:val="000B375E"/>
    <w:rsid w:val="000C524A"/>
    <w:rsid w:val="000C7179"/>
    <w:rsid w:val="000D4D66"/>
    <w:rsid w:val="000F76F0"/>
    <w:rsid w:val="00117A1E"/>
    <w:rsid w:val="0014477D"/>
    <w:rsid w:val="001734CF"/>
    <w:rsid w:val="001771F7"/>
    <w:rsid w:val="00177987"/>
    <w:rsid w:val="00181542"/>
    <w:rsid w:val="0019089D"/>
    <w:rsid w:val="00192C84"/>
    <w:rsid w:val="00196F1B"/>
    <w:rsid w:val="001A09EB"/>
    <w:rsid w:val="001E54A7"/>
    <w:rsid w:val="001F22A0"/>
    <w:rsid w:val="001F3F51"/>
    <w:rsid w:val="001F4709"/>
    <w:rsid w:val="00212B5C"/>
    <w:rsid w:val="002371AA"/>
    <w:rsid w:val="00253F81"/>
    <w:rsid w:val="00280EDA"/>
    <w:rsid w:val="002A7E23"/>
    <w:rsid w:val="002B1CED"/>
    <w:rsid w:val="002B5390"/>
    <w:rsid w:val="002C3D2D"/>
    <w:rsid w:val="002F55CF"/>
    <w:rsid w:val="003239FC"/>
    <w:rsid w:val="00334A9B"/>
    <w:rsid w:val="00340716"/>
    <w:rsid w:val="00346D26"/>
    <w:rsid w:val="00346F14"/>
    <w:rsid w:val="003749CD"/>
    <w:rsid w:val="0037789A"/>
    <w:rsid w:val="00380D9C"/>
    <w:rsid w:val="0038796F"/>
    <w:rsid w:val="003A28C0"/>
    <w:rsid w:val="003C19FE"/>
    <w:rsid w:val="003C61B8"/>
    <w:rsid w:val="003E4A88"/>
    <w:rsid w:val="00412038"/>
    <w:rsid w:val="00412D88"/>
    <w:rsid w:val="0041669F"/>
    <w:rsid w:val="00446A5F"/>
    <w:rsid w:val="004739E4"/>
    <w:rsid w:val="00476A42"/>
    <w:rsid w:val="0048491F"/>
    <w:rsid w:val="004A4B88"/>
    <w:rsid w:val="004C0877"/>
    <w:rsid w:val="004F47C2"/>
    <w:rsid w:val="005030BB"/>
    <w:rsid w:val="00505B7E"/>
    <w:rsid w:val="00510E0F"/>
    <w:rsid w:val="005148F8"/>
    <w:rsid w:val="00535FAF"/>
    <w:rsid w:val="00536F06"/>
    <w:rsid w:val="00545A64"/>
    <w:rsid w:val="00560C67"/>
    <w:rsid w:val="00562889"/>
    <w:rsid w:val="00570D47"/>
    <w:rsid w:val="00591EAB"/>
    <w:rsid w:val="005928D5"/>
    <w:rsid w:val="00594224"/>
    <w:rsid w:val="00597D21"/>
    <w:rsid w:val="005A1A18"/>
    <w:rsid w:val="005A420B"/>
    <w:rsid w:val="005B01AE"/>
    <w:rsid w:val="005C5DBA"/>
    <w:rsid w:val="005D6D98"/>
    <w:rsid w:val="005E3602"/>
    <w:rsid w:val="005F073F"/>
    <w:rsid w:val="00613FA1"/>
    <w:rsid w:val="00617157"/>
    <w:rsid w:val="00621F19"/>
    <w:rsid w:val="00627027"/>
    <w:rsid w:val="00635A1E"/>
    <w:rsid w:val="00636B78"/>
    <w:rsid w:val="006418A6"/>
    <w:rsid w:val="00657556"/>
    <w:rsid w:val="0067444D"/>
    <w:rsid w:val="006836F0"/>
    <w:rsid w:val="00695F3B"/>
    <w:rsid w:val="006A7742"/>
    <w:rsid w:val="006B57B1"/>
    <w:rsid w:val="006B704F"/>
    <w:rsid w:val="006C1C9A"/>
    <w:rsid w:val="006C1F42"/>
    <w:rsid w:val="006C6B1A"/>
    <w:rsid w:val="006E1159"/>
    <w:rsid w:val="006F0CB7"/>
    <w:rsid w:val="006F3AC4"/>
    <w:rsid w:val="006F4EE3"/>
    <w:rsid w:val="00701072"/>
    <w:rsid w:val="00712A2B"/>
    <w:rsid w:val="00716CA8"/>
    <w:rsid w:val="007416DD"/>
    <w:rsid w:val="00742100"/>
    <w:rsid w:val="00742DD8"/>
    <w:rsid w:val="007902C1"/>
    <w:rsid w:val="00795E23"/>
    <w:rsid w:val="007A31D7"/>
    <w:rsid w:val="007A4618"/>
    <w:rsid w:val="007B6C36"/>
    <w:rsid w:val="007F6ADB"/>
    <w:rsid w:val="00800B5F"/>
    <w:rsid w:val="008069E9"/>
    <w:rsid w:val="00830F85"/>
    <w:rsid w:val="0083505E"/>
    <w:rsid w:val="008477BB"/>
    <w:rsid w:val="008651DD"/>
    <w:rsid w:val="00894BB2"/>
    <w:rsid w:val="008A4958"/>
    <w:rsid w:val="008B421A"/>
    <w:rsid w:val="008F6B5D"/>
    <w:rsid w:val="008F6E52"/>
    <w:rsid w:val="00911E5B"/>
    <w:rsid w:val="00941B64"/>
    <w:rsid w:val="0096429A"/>
    <w:rsid w:val="00964BA7"/>
    <w:rsid w:val="009D568A"/>
    <w:rsid w:val="009E7CCF"/>
    <w:rsid w:val="00A05981"/>
    <w:rsid w:val="00A26987"/>
    <w:rsid w:val="00A32BEF"/>
    <w:rsid w:val="00A50B10"/>
    <w:rsid w:val="00A52B8C"/>
    <w:rsid w:val="00A6580C"/>
    <w:rsid w:val="00A80C98"/>
    <w:rsid w:val="00A81978"/>
    <w:rsid w:val="00A859FB"/>
    <w:rsid w:val="00AA1F27"/>
    <w:rsid w:val="00AA3C29"/>
    <w:rsid w:val="00AA66AD"/>
    <w:rsid w:val="00AB5E43"/>
    <w:rsid w:val="00AE2857"/>
    <w:rsid w:val="00B15F0F"/>
    <w:rsid w:val="00B27104"/>
    <w:rsid w:val="00B333D6"/>
    <w:rsid w:val="00B47E27"/>
    <w:rsid w:val="00B6082F"/>
    <w:rsid w:val="00BA708C"/>
    <w:rsid w:val="00BB39B6"/>
    <w:rsid w:val="00BD160F"/>
    <w:rsid w:val="00BE7791"/>
    <w:rsid w:val="00C07D5F"/>
    <w:rsid w:val="00C35BCA"/>
    <w:rsid w:val="00C5324F"/>
    <w:rsid w:val="00C54596"/>
    <w:rsid w:val="00C5758B"/>
    <w:rsid w:val="00C636B0"/>
    <w:rsid w:val="00C66B29"/>
    <w:rsid w:val="00C71498"/>
    <w:rsid w:val="00C7174D"/>
    <w:rsid w:val="00C73F57"/>
    <w:rsid w:val="00C74E4D"/>
    <w:rsid w:val="00C761C2"/>
    <w:rsid w:val="00C843CF"/>
    <w:rsid w:val="00C90FF7"/>
    <w:rsid w:val="00C9102A"/>
    <w:rsid w:val="00CA735F"/>
    <w:rsid w:val="00CB78ED"/>
    <w:rsid w:val="00CC79CA"/>
    <w:rsid w:val="00D07511"/>
    <w:rsid w:val="00D10201"/>
    <w:rsid w:val="00D333AB"/>
    <w:rsid w:val="00D64AB6"/>
    <w:rsid w:val="00D767B6"/>
    <w:rsid w:val="00DC10D3"/>
    <w:rsid w:val="00DD0F04"/>
    <w:rsid w:val="00DD63E8"/>
    <w:rsid w:val="00DF25FF"/>
    <w:rsid w:val="00DF7E96"/>
    <w:rsid w:val="00E0609A"/>
    <w:rsid w:val="00E160C0"/>
    <w:rsid w:val="00E21581"/>
    <w:rsid w:val="00E32BEE"/>
    <w:rsid w:val="00E35DA5"/>
    <w:rsid w:val="00E81DA5"/>
    <w:rsid w:val="00E86557"/>
    <w:rsid w:val="00E904BF"/>
    <w:rsid w:val="00E908F5"/>
    <w:rsid w:val="00E921E5"/>
    <w:rsid w:val="00E952E8"/>
    <w:rsid w:val="00E9603F"/>
    <w:rsid w:val="00EA16D7"/>
    <w:rsid w:val="00EB7B6B"/>
    <w:rsid w:val="00EC7AC0"/>
    <w:rsid w:val="00ED6F20"/>
    <w:rsid w:val="00EE623D"/>
    <w:rsid w:val="00EF6323"/>
    <w:rsid w:val="00F100ED"/>
    <w:rsid w:val="00F213AF"/>
    <w:rsid w:val="00F27545"/>
    <w:rsid w:val="00F60FC6"/>
    <w:rsid w:val="00F61BA0"/>
    <w:rsid w:val="00F721FA"/>
    <w:rsid w:val="00F82E1A"/>
    <w:rsid w:val="00F835CA"/>
    <w:rsid w:val="00FB12C9"/>
    <w:rsid w:val="00FB25F7"/>
    <w:rsid w:val="00FC3A6B"/>
    <w:rsid w:val="00FD1612"/>
    <w:rsid w:val="00FD56EB"/>
    <w:rsid w:val="00FE7AF5"/>
    <w:rsid w:val="00FF40DD"/>
    <w:rsid w:val="00FF66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065FB0"/>
  <w15:docId w15:val="{F07684CC-9C7B-48F5-975B-D14FEC3D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0"/>
    <w:pPr>
      <w:widowControl w:val="0"/>
      <w:autoSpaceDE w:val="0"/>
      <w:autoSpaceDN w:val="0"/>
      <w:adjustRightInd w:val="0"/>
      <w:spacing w:after="240"/>
    </w:pPr>
    <w:rPr>
      <w:rFonts w:ascii="Arial" w:hAnsi="Arial" w:cs="Arial"/>
      <w:color w:val="4D4F5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Table">
    <w:name w:val="Standard Table"/>
    <w:basedOn w:val="TableNormal"/>
    <w:uiPriority w:val="99"/>
    <w:rsid w:val="00712A2B"/>
    <w:pPr>
      <w:spacing w:after="0"/>
    </w:pPr>
    <w:rPr>
      <w:rFonts w:ascii="Times New Roman" w:eastAsia="Times New Roman" w:hAnsi="Times New Roman" w:cs="Times New Roman"/>
      <w:lang w:eastAsia="en-US"/>
    </w:rPr>
    <w:tblPr/>
  </w:style>
  <w:style w:type="paragraph" w:styleId="Header">
    <w:name w:val="header"/>
    <w:basedOn w:val="Normal"/>
    <w:link w:val="HeaderChar"/>
    <w:uiPriority w:val="99"/>
    <w:unhideWhenUsed/>
    <w:rsid w:val="008F6B5D"/>
    <w:pPr>
      <w:tabs>
        <w:tab w:val="center" w:pos="4320"/>
        <w:tab w:val="right" w:pos="8640"/>
      </w:tabs>
      <w:spacing w:after="0"/>
    </w:pPr>
  </w:style>
  <w:style w:type="character" w:customStyle="1" w:styleId="HeaderChar">
    <w:name w:val="Header Char"/>
    <w:basedOn w:val="DefaultParagraphFont"/>
    <w:link w:val="Header"/>
    <w:uiPriority w:val="99"/>
    <w:rsid w:val="008F6B5D"/>
    <w:rPr>
      <w:sz w:val="24"/>
      <w:szCs w:val="24"/>
    </w:rPr>
  </w:style>
  <w:style w:type="paragraph" w:styleId="Footer">
    <w:name w:val="footer"/>
    <w:basedOn w:val="Footnote"/>
    <w:link w:val="FooterChar"/>
    <w:uiPriority w:val="99"/>
    <w:unhideWhenUsed/>
    <w:rsid w:val="006C1C9A"/>
    <w:pPr>
      <w:ind w:left="0" w:right="0"/>
    </w:pPr>
  </w:style>
  <w:style w:type="character" w:customStyle="1" w:styleId="FooterChar">
    <w:name w:val="Footer Char"/>
    <w:basedOn w:val="DefaultParagraphFont"/>
    <w:link w:val="Footer"/>
    <w:uiPriority w:val="99"/>
    <w:rsid w:val="006C1C9A"/>
    <w:rPr>
      <w:rFonts w:ascii="Arial" w:hAnsi="Arial" w:cs="Arial"/>
      <w:color w:val="4D4F53"/>
      <w:sz w:val="16"/>
      <w:szCs w:val="16"/>
    </w:rPr>
  </w:style>
  <w:style w:type="paragraph" w:customStyle="1" w:styleId="URL">
    <w:name w:val="URL"/>
    <w:qFormat/>
    <w:rsid w:val="009D568A"/>
    <w:pPr>
      <w:spacing w:after="0"/>
    </w:pPr>
    <w:rPr>
      <w:rFonts w:ascii="Arial" w:hAnsi="Arial" w:cs="Arial"/>
      <w:b/>
      <w:bCs/>
      <w:color w:val="34B233"/>
      <w:sz w:val="18"/>
      <w:szCs w:val="18"/>
    </w:rPr>
  </w:style>
  <w:style w:type="character" w:styleId="Strong">
    <w:name w:val="Strong"/>
    <w:uiPriority w:val="22"/>
    <w:qFormat/>
    <w:rsid w:val="009D568A"/>
    <w:rPr>
      <w:b/>
      <w:bCs/>
    </w:rPr>
  </w:style>
  <w:style w:type="character" w:styleId="PageNumber">
    <w:name w:val="page number"/>
    <w:basedOn w:val="DefaultParagraphFont"/>
    <w:uiPriority w:val="99"/>
    <w:semiHidden/>
    <w:unhideWhenUsed/>
    <w:rsid w:val="00621F19"/>
  </w:style>
  <w:style w:type="paragraph" w:customStyle="1" w:styleId="Footnote">
    <w:name w:val="Footnote"/>
    <w:basedOn w:val="Normal"/>
    <w:qFormat/>
    <w:rsid w:val="0037789A"/>
    <w:pPr>
      <w:ind w:left="288" w:right="288"/>
    </w:pPr>
    <w:rPr>
      <w:sz w:val="16"/>
      <w:szCs w:val="16"/>
    </w:rPr>
  </w:style>
  <w:style w:type="character" w:styleId="Emphasis">
    <w:name w:val="Emphasis"/>
    <w:uiPriority w:val="20"/>
    <w:qFormat/>
    <w:rsid w:val="00380D9C"/>
    <w:rPr>
      <w:i/>
    </w:rPr>
  </w:style>
  <w:style w:type="character" w:styleId="IntenseEmphasis">
    <w:name w:val="Intense Emphasis"/>
    <w:uiPriority w:val="21"/>
    <w:qFormat/>
    <w:rsid w:val="00380D9C"/>
    <w:rPr>
      <w:b/>
      <w:i/>
    </w:rPr>
  </w:style>
  <w:style w:type="numbering" w:styleId="111111">
    <w:name w:val="Outline List 2"/>
    <w:basedOn w:val="NoList"/>
    <w:uiPriority w:val="99"/>
    <w:semiHidden/>
    <w:unhideWhenUsed/>
    <w:rsid w:val="00380D9C"/>
    <w:pPr>
      <w:numPr>
        <w:numId w:val="1"/>
      </w:numPr>
    </w:pPr>
  </w:style>
  <w:style w:type="paragraph" w:styleId="ListParagraph">
    <w:name w:val="List Paragraph"/>
    <w:basedOn w:val="Normal"/>
    <w:uiPriority w:val="34"/>
    <w:qFormat/>
    <w:rsid w:val="00380D9C"/>
    <w:pPr>
      <w:numPr>
        <w:ilvl w:val="1"/>
        <w:numId w:val="2"/>
      </w:numPr>
      <w:contextualSpacing/>
    </w:pPr>
  </w:style>
  <w:style w:type="paragraph" w:customStyle="1" w:styleId="Body">
    <w:name w:val="Body"/>
    <w:basedOn w:val="Normal"/>
    <w:qFormat/>
    <w:rsid w:val="00F61BA0"/>
    <w:pPr>
      <w:spacing w:line="276" w:lineRule="auto"/>
    </w:pPr>
  </w:style>
  <w:style w:type="character" w:styleId="CommentReference">
    <w:name w:val="annotation reference"/>
    <w:basedOn w:val="DefaultParagraphFont"/>
    <w:uiPriority w:val="99"/>
    <w:semiHidden/>
    <w:unhideWhenUsed/>
    <w:rsid w:val="007416DD"/>
    <w:rPr>
      <w:sz w:val="16"/>
      <w:szCs w:val="16"/>
    </w:rPr>
  </w:style>
  <w:style w:type="paragraph" w:styleId="CommentText">
    <w:name w:val="annotation text"/>
    <w:basedOn w:val="Normal"/>
    <w:link w:val="CommentTextChar"/>
    <w:uiPriority w:val="99"/>
    <w:unhideWhenUsed/>
    <w:rsid w:val="007416DD"/>
    <w:rPr>
      <w:sz w:val="20"/>
      <w:szCs w:val="20"/>
    </w:rPr>
  </w:style>
  <w:style w:type="character" w:customStyle="1" w:styleId="CommentTextChar">
    <w:name w:val="Comment Text Char"/>
    <w:basedOn w:val="DefaultParagraphFont"/>
    <w:link w:val="CommentText"/>
    <w:uiPriority w:val="99"/>
    <w:rsid w:val="007416DD"/>
    <w:rPr>
      <w:rFonts w:ascii="Arial" w:hAnsi="Arial" w:cs="Arial"/>
      <w:color w:val="4D4F53"/>
    </w:rPr>
  </w:style>
  <w:style w:type="paragraph" w:styleId="CommentSubject">
    <w:name w:val="annotation subject"/>
    <w:basedOn w:val="CommentText"/>
    <w:next w:val="CommentText"/>
    <w:link w:val="CommentSubjectChar"/>
    <w:uiPriority w:val="99"/>
    <w:semiHidden/>
    <w:unhideWhenUsed/>
    <w:rsid w:val="007416DD"/>
    <w:rPr>
      <w:b/>
      <w:bCs/>
    </w:rPr>
  </w:style>
  <w:style w:type="character" w:customStyle="1" w:styleId="CommentSubjectChar">
    <w:name w:val="Comment Subject Char"/>
    <w:basedOn w:val="CommentTextChar"/>
    <w:link w:val="CommentSubject"/>
    <w:uiPriority w:val="99"/>
    <w:semiHidden/>
    <w:rsid w:val="007416DD"/>
    <w:rPr>
      <w:rFonts w:ascii="Arial" w:hAnsi="Arial" w:cs="Arial"/>
      <w:b/>
      <w:bCs/>
      <w:color w:val="4D4F53"/>
    </w:rPr>
  </w:style>
  <w:style w:type="character" w:styleId="Hyperlink">
    <w:name w:val="Hyperlink"/>
    <w:basedOn w:val="DefaultParagraphFont"/>
    <w:uiPriority w:val="99"/>
    <w:unhideWhenUsed/>
    <w:rsid w:val="004F47C2"/>
    <w:rPr>
      <w:color w:val="0000FF" w:themeColor="hyperlink"/>
      <w:u w:val="single"/>
    </w:rPr>
  </w:style>
  <w:style w:type="character" w:styleId="UnresolvedMention">
    <w:name w:val="Unresolved Mention"/>
    <w:basedOn w:val="DefaultParagraphFont"/>
    <w:uiPriority w:val="99"/>
    <w:semiHidden/>
    <w:unhideWhenUsed/>
    <w:rsid w:val="004F47C2"/>
    <w:rPr>
      <w:color w:val="605E5C"/>
      <w:shd w:val="clear" w:color="auto" w:fill="E1DFDD"/>
    </w:rPr>
  </w:style>
  <w:style w:type="paragraph" w:styleId="Revision">
    <w:name w:val="Revision"/>
    <w:hidden/>
    <w:uiPriority w:val="99"/>
    <w:semiHidden/>
    <w:rsid w:val="000476D1"/>
    <w:pPr>
      <w:spacing w:after="0"/>
    </w:pPr>
    <w:rPr>
      <w:rFonts w:ascii="Arial" w:hAnsi="Arial" w:cs="Arial"/>
      <w:color w:val="4D4F53"/>
      <w:sz w:val="18"/>
      <w:szCs w:val="18"/>
    </w:rPr>
  </w:style>
  <w:style w:type="paragraph" w:styleId="BalloonText">
    <w:name w:val="Balloon Text"/>
    <w:basedOn w:val="Normal"/>
    <w:link w:val="BalloonTextChar"/>
    <w:uiPriority w:val="99"/>
    <w:semiHidden/>
    <w:unhideWhenUsed/>
    <w:rsid w:val="002B1CE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2B1CED"/>
    <w:rPr>
      <w:rFonts w:ascii="Segoe UI" w:hAnsi="Segoe UI" w:cs="Segoe UI"/>
      <w:color w:val="4D4F53"/>
      <w:sz w:val="18"/>
      <w:szCs w:val="18"/>
    </w:rPr>
  </w:style>
  <w:style w:type="paragraph" w:styleId="NormalWeb">
    <w:name w:val="Normal (Web)"/>
    <w:basedOn w:val="Normal"/>
    <w:uiPriority w:val="99"/>
    <w:semiHidden/>
    <w:unhideWhenUsed/>
    <w:rsid w:val="00F100ED"/>
    <w:pPr>
      <w:widowControl/>
      <w:autoSpaceDE/>
      <w:autoSpaceDN/>
      <w:adjustRightInd/>
      <w:spacing w:before="100" w:beforeAutospacing="1" w:after="100" w:afterAutospacing="1"/>
    </w:pPr>
    <w:rPr>
      <w:rFonts w:ascii="Times New Roman" w:hAnsi="Times New Roman" w:cs="Times New Roman"/>
      <w:color w:val="auto"/>
      <w:sz w:val="24"/>
      <w:szCs w:val="24"/>
      <w:lang w:eastAsia="en-CA"/>
    </w:rPr>
  </w:style>
  <w:style w:type="table" w:styleId="TableGrid">
    <w:name w:val="Table Grid"/>
    <w:basedOn w:val="TableNormal"/>
    <w:uiPriority w:val="59"/>
    <w:rsid w:val="00F100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90963">
      <w:bodyDiv w:val="1"/>
      <w:marLeft w:val="0"/>
      <w:marRight w:val="0"/>
      <w:marTop w:val="0"/>
      <w:marBottom w:val="0"/>
      <w:divBdr>
        <w:top w:val="none" w:sz="0" w:space="0" w:color="auto"/>
        <w:left w:val="none" w:sz="0" w:space="0" w:color="auto"/>
        <w:bottom w:val="none" w:sz="0" w:space="0" w:color="auto"/>
        <w:right w:val="none" w:sz="0" w:space="0" w:color="auto"/>
      </w:divBdr>
    </w:div>
    <w:div w:id="459685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e-emploi.c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humphreys@sinneavefoundatio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ssica.genato@sinneavefoundation.org" TargetMode="External"/><Relationship Id="rId4" Type="http://schemas.openxmlformats.org/officeDocument/2006/relationships/settings" Target="settings.xml"/><Relationship Id="rId9" Type="http://schemas.openxmlformats.org/officeDocument/2006/relationships/hyperlink" Target="mailto:jessica.genato@sinneavefoundation.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D709-76EC-46FA-9498-980255D2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1871</Words>
  <Characters>10668</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JonesGreen</dc:creator>
  <cp:keywords/>
  <dc:description/>
  <cp:lastModifiedBy>Jillian Dowding</cp:lastModifiedBy>
  <cp:revision>2</cp:revision>
  <cp:lastPrinted>2012-04-03T03:19:00Z</cp:lastPrinted>
  <dcterms:created xsi:type="dcterms:W3CDTF">2024-06-06T18:46:00Z</dcterms:created>
  <dcterms:modified xsi:type="dcterms:W3CDTF">2024-06-06T18:46:00Z</dcterms:modified>
</cp:coreProperties>
</file>